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D4CB" w14:textId="5AC1170E" w:rsidR="00863BC5" w:rsidRPr="009064C9" w:rsidRDefault="003F44D4" w:rsidP="009064C9">
      <w:pPr>
        <w:pStyle w:val="af"/>
        <w:spacing w:after="0"/>
        <w:ind w:right="-428" w:hanging="567"/>
        <w:jc w:val="both"/>
        <w:textAlignment w:val="baseline"/>
      </w:pPr>
      <w:r w:rsidRPr="009064C9">
        <w:rPr>
          <w:b/>
          <w:bCs/>
          <w:color w:val="000000"/>
        </w:rPr>
        <w:t xml:space="preserve"> </w:t>
      </w:r>
      <w:r w:rsidRPr="009064C9">
        <w:t xml:space="preserve">  </w:t>
      </w:r>
      <w:bookmarkStart w:id="0" w:name="_Hlk153184554"/>
      <w:bookmarkEnd w:id="0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2941"/>
        <w:gridCol w:w="2820"/>
      </w:tblGrid>
      <w:tr w:rsidR="00863BC5" w14:paraId="0FAABD74" w14:textId="77777777" w:rsidTr="00863BC5">
        <w:tc>
          <w:tcPr>
            <w:tcW w:w="3209" w:type="dxa"/>
          </w:tcPr>
          <w:p w14:paraId="6ED2133E" w14:textId="0D4AADEB" w:rsidR="00863BC5" w:rsidRDefault="00863BC5" w:rsidP="009064C9">
            <w:pPr>
              <w:pStyle w:val="af"/>
              <w:spacing w:after="0"/>
              <w:ind w:right="-428"/>
              <w:jc w:val="both"/>
              <w:textAlignment w:val="baseline"/>
            </w:pPr>
            <w:r w:rsidRPr="009064C9"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04FEC2F4" wp14:editId="4EF2911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86360</wp:posOffset>
                  </wp:positionV>
                  <wp:extent cx="2324100" cy="695325"/>
                  <wp:effectExtent l="0" t="0" r="0" b="9525"/>
                  <wp:wrapTight wrapText="bothSides">
                    <wp:wrapPolygon edited="0">
                      <wp:start x="177" y="0"/>
                      <wp:lineTo x="0" y="2367"/>
                      <wp:lineTo x="0" y="5326"/>
                      <wp:lineTo x="885" y="9468"/>
                      <wp:lineTo x="885" y="13019"/>
                      <wp:lineTo x="1593" y="21304"/>
                      <wp:lineTo x="9030" y="21304"/>
                      <wp:lineTo x="17528" y="21304"/>
                      <wp:lineTo x="17705" y="18937"/>
                      <wp:lineTo x="21423" y="10060"/>
                      <wp:lineTo x="21423" y="4142"/>
                      <wp:lineTo x="17528" y="0"/>
                      <wp:lineTo x="177" y="0"/>
                    </wp:wrapPolygon>
                  </wp:wrapTight>
                  <wp:docPr id="1" name="Рисунок 2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</w:tcPr>
          <w:p w14:paraId="0C392DC2" w14:textId="1DAF9CBF" w:rsidR="00863BC5" w:rsidRDefault="00863BC5" w:rsidP="009064C9">
            <w:pPr>
              <w:pStyle w:val="af"/>
              <w:spacing w:after="0"/>
              <w:ind w:right="-428"/>
              <w:jc w:val="both"/>
              <w:textAlignment w:val="baseline"/>
            </w:pPr>
            <w:r w:rsidRPr="00863BC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5920" behindDoc="1" locked="0" layoutInCell="1" allowOverlap="1" wp14:anchorId="4A44A274" wp14:editId="747F33C9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86360</wp:posOffset>
                  </wp:positionV>
                  <wp:extent cx="1524000" cy="762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19170" y="21060"/>
                      <wp:lineTo x="20520" y="21060"/>
                      <wp:lineTo x="21330" y="21060"/>
                      <wp:lineTo x="21330" y="14040"/>
                      <wp:lineTo x="17820" y="8640"/>
                      <wp:lineTo x="18360" y="0"/>
                      <wp:lineTo x="0" y="0"/>
                    </wp:wrapPolygon>
                  </wp:wrapTight>
                  <wp:docPr id="7" name="Изображени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</w:tcPr>
          <w:p w14:paraId="089D2540" w14:textId="03ACAA63" w:rsidR="00863BC5" w:rsidRDefault="00863BC5" w:rsidP="009064C9">
            <w:pPr>
              <w:pStyle w:val="af"/>
              <w:spacing w:after="0"/>
              <w:ind w:right="-428"/>
              <w:jc w:val="both"/>
              <w:textAlignment w:val="baseline"/>
            </w:pPr>
            <w:r w:rsidRPr="00863BC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7968" behindDoc="1" locked="0" layoutInCell="1" allowOverlap="1" wp14:anchorId="1211502A" wp14:editId="15F2D7E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29210</wp:posOffset>
                  </wp:positionV>
                  <wp:extent cx="12954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282" y="21098"/>
                      <wp:lineTo x="21282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3BC5" w14:paraId="78F2C108" w14:textId="77777777" w:rsidTr="00863BC5">
        <w:tc>
          <w:tcPr>
            <w:tcW w:w="3209" w:type="dxa"/>
          </w:tcPr>
          <w:p w14:paraId="2432BD45" w14:textId="10D84A3C" w:rsidR="00863BC5" w:rsidRDefault="00863BC5" w:rsidP="009064C9">
            <w:pPr>
              <w:pStyle w:val="af"/>
              <w:spacing w:after="0"/>
              <w:ind w:right="-428"/>
              <w:jc w:val="both"/>
              <w:textAlignment w:val="baseline"/>
            </w:pPr>
            <w:r w:rsidRPr="00863BC5">
              <w:rPr>
                <w:rFonts w:ascii="Calibri" w:eastAsia="Calibri" w:hAnsi="Calibri"/>
                <w:b/>
                <w:noProof/>
                <w:color w:val="0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70016" behindDoc="1" locked="0" layoutInCell="1" allowOverlap="1" wp14:anchorId="54A4A2A2" wp14:editId="06D5482D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70485</wp:posOffset>
                  </wp:positionV>
                  <wp:extent cx="1905000" cy="923290"/>
                  <wp:effectExtent l="0" t="0" r="0" b="0"/>
                  <wp:wrapTight wrapText="bothSides">
                    <wp:wrapPolygon edited="0">
                      <wp:start x="0" y="0"/>
                      <wp:lineTo x="0" y="20946"/>
                      <wp:lineTo x="21384" y="20946"/>
                      <wp:lineTo x="21384" y="0"/>
                      <wp:lineTo x="0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9" w:type="dxa"/>
          </w:tcPr>
          <w:p w14:paraId="4993C766" w14:textId="3B5096A2" w:rsidR="00863BC5" w:rsidRDefault="00863BC5" w:rsidP="009064C9">
            <w:pPr>
              <w:pStyle w:val="af"/>
              <w:spacing w:after="0"/>
              <w:ind w:right="-428"/>
              <w:jc w:val="both"/>
              <w:textAlignment w:val="baseline"/>
            </w:pPr>
          </w:p>
        </w:tc>
        <w:tc>
          <w:tcPr>
            <w:tcW w:w="3209" w:type="dxa"/>
          </w:tcPr>
          <w:p w14:paraId="45556AE6" w14:textId="37BFB297" w:rsidR="00863BC5" w:rsidRDefault="00863BC5" w:rsidP="009064C9">
            <w:pPr>
              <w:pStyle w:val="af"/>
              <w:spacing w:after="0"/>
              <w:ind w:right="-428"/>
              <w:jc w:val="both"/>
              <w:textAlignment w:val="baseline"/>
            </w:pPr>
            <w:r w:rsidRPr="00863BC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72064" behindDoc="1" locked="0" layoutInCell="1" allowOverlap="1" wp14:anchorId="5033199B" wp14:editId="79DC8E5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70485</wp:posOffset>
                  </wp:positionV>
                  <wp:extent cx="1343025" cy="1047750"/>
                  <wp:effectExtent l="0" t="0" r="9525" b="0"/>
                  <wp:wrapTight wrapText="bothSides">
                    <wp:wrapPolygon edited="0">
                      <wp:start x="0" y="0"/>
                      <wp:lineTo x="0" y="21207"/>
                      <wp:lineTo x="21447" y="21207"/>
                      <wp:lineTo x="21447" y="0"/>
                      <wp:lineTo x="0" y="0"/>
                    </wp:wrapPolygon>
                  </wp:wrapTight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63103D" w14:textId="042C6E9B" w:rsidR="003F44D4" w:rsidRDefault="003F44D4" w:rsidP="009064C9">
      <w:pPr>
        <w:pStyle w:val="af"/>
        <w:spacing w:after="0"/>
        <w:ind w:hanging="567"/>
        <w:textAlignment w:val="baseline"/>
      </w:pPr>
      <w:r w:rsidRPr="009064C9">
        <w:t xml:space="preserve">                                       </w:t>
      </w:r>
    </w:p>
    <w:p w14:paraId="338FFEA3" w14:textId="772A6971" w:rsidR="003F44D4" w:rsidRPr="009064C9" w:rsidRDefault="003F44D4" w:rsidP="009064C9">
      <w:pPr>
        <w:pStyle w:val="af"/>
        <w:spacing w:after="0"/>
        <w:ind w:hanging="567"/>
        <w:jc w:val="center"/>
        <w:textAlignment w:val="baseline"/>
        <w:rPr>
          <w:rStyle w:val="a6"/>
        </w:rPr>
      </w:pPr>
      <w:r w:rsidRPr="009064C9">
        <w:rPr>
          <w:b/>
        </w:rPr>
        <w:t>ИНФОРМАЦИОННОЕ ПИСЬМО</w:t>
      </w:r>
    </w:p>
    <w:p w14:paraId="36287F6B" w14:textId="77777777" w:rsidR="003F44D4" w:rsidRPr="009064C9" w:rsidRDefault="003F44D4" w:rsidP="009064C9">
      <w:pPr>
        <w:pStyle w:val="af"/>
        <w:spacing w:before="0" w:beforeAutospacing="0" w:after="0" w:afterAutospacing="0"/>
        <w:jc w:val="center"/>
        <w:textAlignment w:val="baseline"/>
        <w:rPr>
          <w:rStyle w:val="a6"/>
        </w:rPr>
      </w:pPr>
      <w:r w:rsidRPr="009064C9">
        <w:rPr>
          <w:rStyle w:val="a6"/>
        </w:rPr>
        <w:t>Уважаемые коллеги!</w:t>
      </w:r>
    </w:p>
    <w:p w14:paraId="4AACFB4B" w14:textId="77777777" w:rsidR="003F44D4" w:rsidRPr="009064C9" w:rsidRDefault="003F44D4" w:rsidP="009064C9">
      <w:pPr>
        <w:pStyle w:val="af"/>
        <w:spacing w:before="0" w:beforeAutospacing="0" w:after="0" w:afterAutospacing="0"/>
        <w:jc w:val="center"/>
        <w:textAlignment w:val="baseline"/>
        <w:rPr>
          <w:rStyle w:val="a6"/>
        </w:rPr>
      </w:pPr>
      <w:r w:rsidRPr="009064C9">
        <w:rPr>
          <w:rStyle w:val="a6"/>
        </w:rPr>
        <w:t>Приглашаем вас принять участие в</w:t>
      </w:r>
    </w:p>
    <w:p w14:paraId="69315AC3" w14:textId="77777777" w:rsidR="003F44D4" w:rsidRPr="009064C9" w:rsidRDefault="003F44D4" w:rsidP="009064C9">
      <w:pPr>
        <w:pStyle w:val="af"/>
        <w:spacing w:before="0" w:beforeAutospacing="0" w:after="0" w:afterAutospacing="0"/>
        <w:jc w:val="center"/>
        <w:textAlignment w:val="baseline"/>
        <w:rPr>
          <w:rStyle w:val="a6"/>
        </w:rPr>
      </w:pPr>
      <w:r w:rsidRPr="009064C9">
        <w:rPr>
          <w:b/>
          <w:bCs/>
        </w:rPr>
        <w:t>МЕЖДУНАРОДНОЙ НАУЧНО-ПРАКТИЧЕСКОЙ КОНФЕРЕНЦИИ</w:t>
      </w:r>
    </w:p>
    <w:p w14:paraId="2573E7F9" w14:textId="77777777" w:rsidR="003F44D4" w:rsidRPr="009064C9" w:rsidRDefault="003F44D4" w:rsidP="009064C9">
      <w:pPr>
        <w:pStyle w:val="a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9064C9">
        <w:rPr>
          <w:b/>
          <w:bCs/>
        </w:rPr>
        <w:t>«Устойчивое развитие транспорта: экономика, трансформация, логистика, ESG повестка»</w:t>
      </w:r>
    </w:p>
    <w:p w14:paraId="6A96FBF8" w14:textId="77777777" w:rsidR="003F44D4" w:rsidRPr="009064C9" w:rsidRDefault="003F44D4" w:rsidP="009064C9">
      <w:pPr>
        <w:pStyle w:val="af"/>
        <w:spacing w:before="0" w:beforeAutospacing="0" w:after="0" w:afterAutospacing="0"/>
        <w:jc w:val="center"/>
        <w:textAlignment w:val="baseline"/>
        <w:rPr>
          <w:rStyle w:val="a6"/>
        </w:rPr>
      </w:pPr>
    </w:p>
    <w:p w14:paraId="3D4D41FE" w14:textId="77777777" w:rsidR="003F44D4" w:rsidRPr="009064C9" w:rsidRDefault="003F44D4" w:rsidP="009064C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4C9">
        <w:rPr>
          <w:rFonts w:ascii="Times New Roman" w:hAnsi="Times New Roman"/>
          <w:b/>
          <w:sz w:val="24"/>
          <w:szCs w:val="24"/>
        </w:rPr>
        <w:t>28-29 февраля 2024 года</w:t>
      </w:r>
    </w:p>
    <w:p w14:paraId="57E99280" w14:textId="77777777" w:rsidR="003F44D4" w:rsidRPr="009064C9" w:rsidRDefault="003F44D4" w:rsidP="009064C9">
      <w:pPr>
        <w:pStyle w:val="af"/>
        <w:spacing w:before="0" w:beforeAutospacing="0" w:after="0" w:afterAutospacing="0"/>
        <w:jc w:val="both"/>
        <w:textAlignment w:val="baseline"/>
        <w:rPr>
          <w:rStyle w:val="a6"/>
        </w:rPr>
      </w:pPr>
    </w:p>
    <w:p w14:paraId="36A6218D" w14:textId="77777777" w:rsidR="003F44D4" w:rsidRPr="009064C9" w:rsidRDefault="003F44D4" w:rsidP="009064C9">
      <w:pPr>
        <w:pStyle w:val="af"/>
        <w:spacing w:before="0" w:beforeAutospacing="0" w:after="0" w:afterAutospacing="0"/>
        <w:jc w:val="center"/>
        <w:textAlignment w:val="baseline"/>
      </w:pPr>
      <w:r w:rsidRPr="009064C9">
        <w:rPr>
          <w:rStyle w:val="a6"/>
        </w:rPr>
        <w:t>ЦЕЛЬ И НАУЧНАЯ ОБЛАСТЬ КОНФЕРЕНЦИИ</w:t>
      </w:r>
    </w:p>
    <w:p w14:paraId="1E61EB07" w14:textId="77777777" w:rsidR="003F44D4" w:rsidRPr="009064C9" w:rsidRDefault="003F44D4" w:rsidP="009064C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>Развитые, эффективные, безопасные и хорошо охраняемые внутренние транспортные системы способны обеспечить доступ к таким важным для человека сферам, как рынки, занятость, образование и основные услуги, что имеет решающее значение для сокращения масштабов нищеты; в то же время транспорт является основным фактором, обусловливающим повышение мирового спроса на энергоносители, и это оказывает существенное воздействие на окружающую среду.</w:t>
      </w:r>
    </w:p>
    <w:p w14:paraId="2D8225FD" w14:textId="77777777" w:rsidR="003F44D4" w:rsidRPr="009064C9" w:rsidRDefault="003F44D4" w:rsidP="009064C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Республики Узбекистан от 10 октября 2023 года «О мерах по коренному реформированию сферы железнодорожного транспорта Республики Узбекистан» № ПП-329 открывает новые направления эффективного использования транзитного потенциала Республики Узбекистан  в части трансформации сферы железнодорожного транспорта, создания здоровой конкурентной среды, широкого привлечения в отрасль частного сектора, цифровизации бизнес-процессов, внедрения современных методов управления.  </w:t>
      </w:r>
    </w:p>
    <w:p w14:paraId="74F82875" w14:textId="77777777" w:rsidR="003F44D4" w:rsidRPr="009064C9" w:rsidRDefault="003F44D4" w:rsidP="009064C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>Транспортно-логистический комплекс играет важную системообразующую роль в функционировании и развитии экономики. Традиционно управление транспортно-логистическим комплексом осуществлялось в соответствии с экономической повесткой, смысл которой сводился к обеспечению экономичности транспортно-логистических услуг. В «десятилетие действий» (2020-2030 гг.) на смену экономичности пришел новый приоритет: устойчивость, что обусловлено двумя основными причинами.</w:t>
      </w:r>
    </w:p>
    <w:p w14:paraId="6F3510A1" w14:textId="77777777" w:rsidR="003F44D4" w:rsidRPr="009064C9" w:rsidRDefault="003F44D4" w:rsidP="009064C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 xml:space="preserve">Во-первых, принятие целей устойчивого развития (ЦУР) и провозглашение </w:t>
      </w:r>
      <w:r w:rsidRPr="009064C9">
        <w:rPr>
          <w:rFonts w:ascii="Times New Roman" w:eastAsia="Times New Roman" w:hAnsi="Times New Roman"/>
          <w:sz w:val="24"/>
          <w:szCs w:val="24"/>
          <w:lang w:val="en-US" w:eastAsia="ru-RU"/>
        </w:rPr>
        <w:t>ESG</w:t>
      </w: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>-повестки переориентировало транспортно-логистический комплекс на комплексный учет интересов: 1) защиты окружающей среды (</w:t>
      </w:r>
      <w:r w:rsidRPr="009064C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064C9">
        <w:rPr>
          <w:rFonts w:ascii="Times New Roman" w:eastAsia="Times New Roman" w:hAnsi="Times New Roman"/>
          <w:sz w:val="24"/>
          <w:szCs w:val="24"/>
          <w:lang w:val="en-US" w:eastAsia="ru-RU"/>
        </w:rPr>
        <w:t>environment</w:t>
      </w: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>) через внедрение «зеленых» инноваций и развитие более экологичных видов транспорта; 2) общества (</w:t>
      </w:r>
      <w:r w:rsidRPr="009064C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</w:t>
      </w: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064C9">
        <w:rPr>
          <w:rFonts w:ascii="Times New Roman" w:eastAsia="Times New Roman" w:hAnsi="Times New Roman"/>
          <w:sz w:val="24"/>
          <w:szCs w:val="24"/>
          <w:lang w:val="en-US" w:eastAsia="ru-RU"/>
        </w:rPr>
        <w:t>society</w:t>
      </w: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 xml:space="preserve">) через </w:t>
      </w: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транспорта и логистики в поддержку повышения уровня и качества жизни населения; 3) экономики (</w:t>
      </w:r>
      <w:r w:rsidRPr="009064C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</w:t>
      </w: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064C9">
        <w:rPr>
          <w:rFonts w:ascii="Times New Roman" w:eastAsia="Times New Roman" w:hAnsi="Times New Roman"/>
          <w:sz w:val="24"/>
          <w:szCs w:val="24"/>
          <w:lang w:val="en-US" w:eastAsia="ru-RU"/>
        </w:rPr>
        <w:t>governance</w:t>
      </w: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>) через поддержку как отечественного бизнеса и внутренних рынков, так и международной торговли, а также транснациональных производственно-сбытовых сетей.</w:t>
      </w:r>
    </w:p>
    <w:p w14:paraId="61CBE1B4" w14:textId="77777777" w:rsidR="003F44D4" w:rsidRPr="009064C9" w:rsidRDefault="003F44D4" w:rsidP="009064C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>Во-вторых, кризисный контекст «десятилетия действий» диктует необходимость устойчивого развития транспортно-логистического комплекса в еще одном аспекте – антикризисном. Этот аспект предполагает предотвращение коллапсов транспортно-логистической инфраструктуры, гарантии безопасности ее использования и ее инклюзивности для всех заинтересованных сторон, а также бесперебойность работы транспортно-логистических объектов (предотвращение поломок оборудования, забастовок работников, перегруженности объектов из-за их недостаточно большой пропускной способности и т.д.).</w:t>
      </w:r>
    </w:p>
    <w:p w14:paraId="659EA1E9" w14:textId="77777777" w:rsidR="003F44D4" w:rsidRPr="009064C9" w:rsidRDefault="003F44D4" w:rsidP="009064C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>В связи с этим актуально переосмысление научной концепции транспортно-логистического комплекса через призму приоритетов устойчивого развития, а также проработка прикладных вопросов приложения этой концепции к современной международной практике управления устойчивым развитием транспортно-логистического комплекса. Это требует скоординированных научных исследований в различных областях знаний.</w:t>
      </w:r>
    </w:p>
    <w:p w14:paraId="11B65A96" w14:textId="77777777" w:rsidR="003F44D4" w:rsidRPr="009064C9" w:rsidRDefault="003F44D4" w:rsidP="009064C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64C9">
        <w:rPr>
          <w:rFonts w:ascii="Times New Roman" w:hAnsi="Times New Roman"/>
          <w:color w:val="000000"/>
          <w:sz w:val="24"/>
          <w:szCs w:val="24"/>
        </w:rPr>
        <w:t>На микроуровне экономики целесообразна и</w:t>
      </w:r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нтеграция </w:t>
      </w:r>
      <w:r w:rsidRPr="009064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ESG</w:t>
      </w:r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t>-повестки в корпоративные стратегии управления устойчивым развитием компаний транспортно-логистического комплекса, что предполагает трансформацию конкуренции на рынках данного комплекса и модернизацию бизнес-моделей.</w:t>
      </w:r>
    </w:p>
    <w:p w14:paraId="1BBDF866" w14:textId="77777777" w:rsidR="003F44D4" w:rsidRPr="009064C9" w:rsidRDefault="003F44D4" w:rsidP="009064C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proofErr w:type="spellStart"/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t>мезоуровне</w:t>
      </w:r>
      <w:proofErr w:type="spellEnd"/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экономики требуется подготовка широкого спектра кадров («зеленых», цифровых, управленческих) для устойчивого развития транспортно-логистического комплекса, что подчеркивает важную роль университетов в рассматриваемом процессе. Также необходимо нацелить у</w:t>
      </w:r>
      <w:r w:rsidRPr="009064C9">
        <w:rPr>
          <w:rFonts w:ascii="Times New Roman" w:hAnsi="Times New Roman"/>
          <w:color w:val="000000"/>
          <w:sz w:val="24"/>
          <w:szCs w:val="24"/>
        </w:rPr>
        <w:t>стойчивое развитие транспортно-логистического комплекса на повышение уровня и качества жизни как на уровне стран, так и на уровне регионов в составе стран, причем отдельного внимания заслуживают «умные» регионы.</w:t>
      </w:r>
    </w:p>
    <w:p w14:paraId="61EF149B" w14:textId="77777777" w:rsidR="003F44D4" w:rsidRPr="009064C9" w:rsidRDefault="003F44D4" w:rsidP="009064C9">
      <w:pPr>
        <w:tabs>
          <w:tab w:val="left" w:pos="4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064C9">
        <w:rPr>
          <w:rFonts w:ascii="Times New Roman" w:hAnsi="Times New Roman"/>
          <w:color w:val="000000"/>
          <w:sz w:val="24"/>
          <w:szCs w:val="24"/>
        </w:rPr>
        <w:t xml:space="preserve">На макроуровне экономики приложение философии и культуры </w:t>
      </w:r>
      <w:r w:rsidRPr="009064C9">
        <w:rPr>
          <w:rFonts w:ascii="Times New Roman" w:hAnsi="Times New Roman"/>
          <w:color w:val="000000"/>
          <w:sz w:val="24"/>
          <w:szCs w:val="24"/>
          <w:lang w:val="en-US"/>
        </w:rPr>
        <w:t>ESG</w:t>
      </w:r>
      <w:r w:rsidRPr="009064C9">
        <w:rPr>
          <w:rFonts w:ascii="Times New Roman" w:hAnsi="Times New Roman"/>
          <w:color w:val="000000"/>
          <w:sz w:val="24"/>
          <w:szCs w:val="24"/>
        </w:rPr>
        <w:t xml:space="preserve"> к устойчивому развитию транспортно-логистического комплекса необходимо для модернизации общества потребления, организационной культуры, а также отраслевых норм и стандартов. Также важно обеспечить укрепление институциональной основы и высокоэффективное нормативно-правовое регулирование устойчивого развития транспортно-логистического комплекса, что предполагает модернизацию государственной экономической политики. </w:t>
      </w:r>
    </w:p>
    <w:p w14:paraId="2BF656F3" w14:textId="77777777" w:rsidR="003F44D4" w:rsidRPr="009064C9" w:rsidRDefault="003F44D4" w:rsidP="009064C9">
      <w:pPr>
        <w:tabs>
          <w:tab w:val="left" w:pos="4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064C9">
        <w:rPr>
          <w:rFonts w:ascii="Times New Roman" w:hAnsi="Times New Roman"/>
          <w:color w:val="000000"/>
          <w:sz w:val="24"/>
          <w:szCs w:val="24"/>
        </w:rPr>
        <w:t>Также важно обеспечить благоприятный налоговый, деловой и инвестиционный климат в транспортно-логистическом комплексе. В этом отношении привлекателен механизм государственно-частного партнерства, так как он помогает привлечь частные инвестиции в устойчивое развитие транспортно-логистического комплекса. И, конечно, необходима цифровая трансформация транспортно-логистического комплекса, являющаяся перспективным путем его устойчивого развития. При этом особенное внимание стоит уделить вопросам цифровизации транспортно-логистических услуг, а также вопросам развития беспилотного транспорта.</w:t>
      </w:r>
    </w:p>
    <w:p w14:paraId="24727D8C" w14:textId="77777777" w:rsidR="003F44D4" w:rsidRPr="009064C9" w:rsidRDefault="003F44D4" w:rsidP="009064C9">
      <w:pPr>
        <w:tabs>
          <w:tab w:val="left" w:pos="4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064C9">
        <w:rPr>
          <w:rFonts w:ascii="Times New Roman" w:hAnsi="Times New Roman"/>
          <w:color w:val="000000"/>
          <w:sz w:val="24"/>
          <w:szCs w:val="24"/>
        </w:rPr>
        <w:t>На глобальном уровне экономики целесообразно дальнейшее р</w:t>
      </w:r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азвитие международных транспортных коридоров и путей в поддержку устойчивого развития мировой торговли с учетом </w:t>
      </w:r>
      <w:r w:rsidRPr="009064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ESG</w:t>
      </w:r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t>-повестки. Отдельного внимания заслужит уникальный опыт и перспектива у</w:t>
      </w:r>
      <w:r w:rsidRPr="009064C9">
        <w:rPr>
          <w:rFonts w:ascii="Times New Roman" w:hAnsi="Times New Roman"/>
          <w:color w:val="000000"/>
          <w:sz w:val="24"/>
          <w:szCs w:val="24"/>
        </w:rPr>
        <w:t xml:space="preserve">стойчивого развития экономики Евразийского экономического союза (ЕАЭС) на базе </w:t>
      </w:r>
      <w:r w:rsidRPr="009064C9">
        <w:rPr>
          <w:rFonts w:ascii="Times New Roman" w:hAnsi="Times New Roman"/>
          <w:color w:val="000000"/>
          <w:sz w:val="24"/>
          <w:szCs w:val="24"/>
          <w:lang w:val="en-US"/>
        </w:rPr>
        <w:t>ESG</w:t>
      </w:r>
      <w:r w:rsidRPr="009064C9">
        <w:rPr>
          <w:rFonts w:ascii="Times New Roman" w:hAnsi="Times New Roman"/>
          <w:color w:val="000000"/>
          <w:sz w:val="24"/>
          <w:szCs w:val="24"/>
        </w:rPr>
        <w:t>-трансформации транспортно-логистического комплекса.</w:t>
      </w:r>
    </w:p>
    <w:p w14:paraId="57473275" w14:textId="77777777" w:rsidR="003F44D4" w:rsidRPr="009064C9" w:rsidRDefault="003F44D4" w:rsidP="009064C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6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Международная научно-практическая конференция «Устойчивое развитие транспорта: экономика, трансформация, логистика, ESG повестка» </w:t>
      </w:r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преследует цель системного изучения процессов устойчивого развития транспортно-логистического комплекса, углубленного изучения экономических, трансформационных и других причинно-следственных связей этих процессов, а также разработки теоретико-методических и прикладных рекомендаций по совершенствованию практики управления устойчивым развитием транспортно-логистического комплекса в соответствии с </w:t>
      </w:r>
      <w:r w:rsidRPr="009064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ESG</w:t>
      </w:r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t>-повесткой.</w:t>
      </w:r>
    </w:p>
    <w:p w14:paraId="6167A119" w14:textId="2E43EB0E" w:rsidR="003F44D4" w:rsidRPr="009064C9" w:rsidRDefault="003F44D4" w:rsidP="009064C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Конференция будет проходить в </w:t>
      </w:r>
      <w:r w:rsidR="00C13E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феврале </w:t>
      </w:r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t>2024 год</w:t>
      </w:r>
      <w:r w:rsidR="00C13EA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Республике Узбекистан на площадке Ташкентского государственного транспортного университета. </w:t>
      </w:r>
      <w:r w:rsidRPr="009064C9">
        <w:rPr>
          <w:rFonts w:ascii="Times New Roman" w:hAnsi="Times New Roman"/>
          <w:sz w:val="24"/>
          <w:szCs w:val="24"/>
        </w:rPr>
        <w:t xml:space="preserve">Официальные языки конференции: русский, узбекский и английский. </w:t>
      </w:r>
      <w:r w:rsidRPr="009064C9">
        <w:rPr>
          <w:rFonts w:ascii="Times New Roman" w:hAnsi="Times New Roman"/>
          <w:color w:val="000000"/>
          <w:sz w:val="24"/>
          <w:szCs w:val="24"/>
        </w:rPr>
        <w:t>Участие в конференции возможно в качестве докладчика и в качестве слушателя. П</w:t>
      </w:r>
      <w:r w:rsidRPr="009064C9">
        <w:rPr>
          <w:rFonts w:ascii="Times New Roman" w:hAnsi="Times New Roman"/>
          <w:sz w:val="24"/>
          <w:szCs w:val="24"/>
        </w:rPr>
        <w:t>роводится в очной форме, возможен онлайн-формат выступления. Для участия в конференции приглашаются все, кто интересуется вопросами</w:t>
      </w:r>
      <w:r w:rsidRPr="009064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устойчивого развития транспортно-логистического комплекса, проблемами экономики и трансформации транспорта, </w:t>
      </w:r>
      <w:r w:rsidRPr="009064C9">
        <w:rPr>
          <w:rFonts w:ascii="Times New Roman" w:eastAsia="Times New Roman" w:hAnsi="Times New Roman"/>
          <w:sz w:val="24"/>
          <w:szCs w:val="24"/>
          <w:lang w:val="en-US" w:eastAsia="ru-RU"/>
        </w:rPr>
        <w:t>ESG</w:t>
      </w: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 xml:space="preserve">-управления и цифровизации транспортно-логистических услуг. </w:t>
      </w:r>
    </w:p>
    <w:p w14:paraId="5F9C19D1" w14:textId="77777777" w:rsidR="003F44D4" w:rsidRPr="009064C9" w:rsidRDefault="003F44D4" w:rsidP="009064C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64C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Приветствуется участие </w:t>
      </w:r>
      <w:r w:rsidRPr="009064C9">
        <w:rPr>
          <w:rFonts w:ascii="Times New Roman" w:hAnsi="Times New Roman"/>
          <w:sz w:val="24"/>
          <w:szCs w:val="24"/>
        </w:rPr>
        <w:t xml:space="preserve">профессорско-преподавательского состава вузов, студентов, магистрантов и аспирантов, представителей органов государственного управления, общественных организаций и бизнеса. </w:t>
      </w:r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Конференция имеет широкий охват, в связи с чем на ней будут обсуждаться результаты исследований из различных областей научных знаний, включая экономические, юридические, экологические, педагогические, технические, философские и прочие социально-гуманитарные науки.</w:t>
      </w:r>
    </w:p>
    <w:p w14:paraId="029749AF" w14:textId="77777777" w:rsidR="003F44D4" w:rsidRPr="009064C9" w:rsidRDefault="003F44D4" w:rsidP="009064C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064C9">
        <w:rPr>
          <w:rFonts w:ascii="Times New Roman" w:hAnsi="Times New Roman"/>
          <w:sz w:val="24"/>
          <w:szCs w:val="24"/>
        </w:rPr>
        <w:t xml:space="preserve">Конференция предполагает представление и обсуждение докладов на следующих </w:t>
      </w:r>
      <w:r w:rsidRPr="009064C9">
        <w:rPr>
          <w:rFonts w:ascii="Times New Roman" w:hAnsi="Times New Roman"/>
          <w:color w:val="000000"/>
          <w:sz w:val="24"/>
          <w:szCs w:val="24"/>
        </w:rPr>
        <w:t>секциях:</w:t>
      </w:r>
    </w:p>
    <w:p w14:paraId="00F2817D" w14:textId="1FB3E2FD" w:rsidR="003F44D4" w:rsidRPr="009064C9" w:rsidRDefault="003F44D4" w:rsidP="009064C9">
      <w:pPr>
        <w:pStyle w:val="af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9064C9">
        <w:rPr>
          <w:b/>
          <w:bCs/>
          <w:color w:val="000000"/>
        </w:rPr>
        <w:t>Бизнес-процессы и цифровая трансформация транспорта</w:t>
      </w:r>
      <w:r w:rsidR="00DC7CBB">
        <w:rPr>
          <w:b/>
          <w:bCs/>
          <w:color w:val="000000"/>
        </w:rPr>
        <w:t>:</w:t>
      </w:r>
      <w:r w:rsidRPr="009064C9">
        <w:rPr>
          <w:b/>
          <w:bCs/>
          <w:color w:val="000000"/>
        </w:rPr>
        <w:t xml:space="preserve"> </w:t>
      </w:r>
    </w:p>
    <w:p w14:paraId="725E53C1" w14:textId="77777777" w:rsidR="00530E6E" w:rsidRPr="00F07C8A" w:rsidRDefault="00530E6E" w:rsidP="00F07C8A">
      <w:pPr>
        <w:pStyle w:val="af3"/>
        <w:numPr>
          <w:ilvl w:val="0"/>
          <w:numId w:val="11"/>
        </w:numPr>
        <w:jc w:val="both"/>
        <w:rPr>
          <w:rFonts w:ascii="Times New Roman" w:hAnsi="Times New Roman"/>
          <w:i/>
        </w:rPr>
      </w:pPr>
      <w:r w:rsidRPr="00F07C8A">
        <w:rPr>
          <w:rFonts w:ascii="Times New Roman" w:hAnsi="Times New Roman"/>
          <w:i/>
        </w:rPr>
        <w:t>Трансформация</w:t>
      </w:r>
      <w:r w:rsidR="000C4BAE" w:rsidRPr="00F07C8A">
        <w:rPr>
          <w:rFonts w:ascii="Times New Roman" w:hAnsi="Times New Roman"/>
          <w:i/>
        </w:rPr>
        <w:t xml:space="preserve"> экономики и</w:t>
      </w:r>
      <w:r w:rsidRPr="00F07C8A">
        <w:rPr>
          <w:rFonts w:ascii="Times New Roman" w:hAnsi="Times New Roman"/>
          <w:i/>
        </w:rPr>
        <w:t xml:space="preserve"> транспорта: проблемы учета, бизнес-планирование, статистический, экономический и финансовый анализ, </w:t>
      </w:r>
      <w:proofErr w:type="gramStart"/>
      <w:r w:rsidR="006F314B" w:rsidRPr="00F07C8A">
        <w:rPr>
          <w:rFonts w:ascii="Times New Roman" w:hAnsi="Times New Roman"/>
          <w:i/>
        </w:rPr>
        <w:t>бизнес инструменты</w:t>
      </w:r>
      <w:proofErr w:type="gramEnd"/>
      <w:r w:rsidR="006F314B" w:rsidRPr="00F07C8A">
        <w:rPr>
          <w:rFonts w:ascii="Times New Roman" w:hAnsi="Times New Roman"/>
          <w:i/>
        </w:rPr>
        <w:t xml:space="preserve"> </w:t>
      </w:r>
      <w:r w:rsidRPr="00F07C8A">
        <w:rPr>
          <w:rFonts w:ascii="Times New Roman" w:hAnsi="Times New Roman"/>
          <w:i/>
        </w:rPr>
        <w:t>цифров</w:t>
      </w:r>
      <w:r w:rsidR="006F314B" w:rsidRPr="00F07C8A">
        <w:rPr>
          <w:rFonts w:ascii="Times New Roman" w:hAnsi="Times New Roman"/>
          <w:i/>
        </w:rPr>
        <w:t>ой экономики</w:t>
      </w:r>
    </w:p>
    <w:p w14:paraId="27BFFE8E" w14:textId="77777777" w:rsidR="009064C9" w:rsidRPr="00F07C8A" w:rsidRDefault="009064C9" w:rsidP="00F07C8A">
      <w:pPr>
        <w:pStyle w:val="af3"/>
        <w:numPr>
          <w:ilvl w:val="0"/>
          <w:numId w:val="11"/>
        </w:num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7C8A">
        <w:rPr>
          <w:rFonts w:ascii="Times New Roman" w:eastAsia="Times New Roman" w:hAnsi="Times New Roman"/>
          <w:i/>
          <w:sz w:val="24"/>
          <w:szCs w:val="24"/>
          <w:lang w:eastAsia="ru-RU"/>
        </w:rPr>
        <w:t>Интегрированное управление: менеджмент, маркетинг и инновации в отрасли</w:t>
      </w:r>
    </w:p>
    <w:p w14:paraId="0B956688" w14:textId="77777777" w:rsidR="009064C9" w:rsidRPr="00F07C8A" w:rsidRDefault="00530E6E" w:rsidP="00F07C8A">
      <w:pPr>
        <w:pStyle w:val="af3"/>
        <w:numPr>
          <w:ilvl w:val="0"/>
          <w:numId w:val="11"/>
        </w:numPr>
        <w:jc w:val="both"/>
        <w:rPr>
          <w:rFonts w:ascii="Times New Roman" w:hAnsi="Times New Roman"/>
          <w:i/>
        </w:rPr>
      </w:pPr>
      <w:r w:rsidRPr="00F07C8A">
        <w:rPr>
          <w:rFonts w:ascii="Times New Roman" w:hAnsi="Times New Roman"/>
          <w:i/>
        </w:rPr>
        <w:t xml:space="preserve">Перспективы </w:t>
      </w:r>
      <w:r w:rsidR="000C4BAE" w:rsidRPr="00F07C8A">
        <w:rPr>
          <w:rFonts w:ascii="Times New Roman" w:hAnsi="Times New Roman"/>
          <w:i/>
        </w:rPr>
        <w:t xml:space="preserve">устойчивого </w:t>
      </w:r>
      <w:r w:rsidRPr="00F07C8A">
        <w:rPr>
          <w:rFonts w:ascii="Times New Roman" w:hAnsi="Times New Roman"/>
          <w:i/>
        </w:rPr>
        <w:t>развития отраслевой экономики</w:t>
      </w:r>
    </w:p>
    <w:p w14:paraId="7D8B13D1" w14:textId="77777777" w:rsidR="009064C9" w:rsidRPr="00F07C8A" w:rsidRDefault="009064C9" w:rsidP="00F07C8A">
      <w:pPr>
        <w:pStyle w:val="af3"/>
        <w:numPr>
          <w:ilvl w:val="0"/>
          <w:numId w:val="11"/>
        </w:numPr>
        <w:jc w:val="both"/>
        <w:rPr>
          <w:rFonts w:ascii="Times New Roman" w:hAnsi="Times New Roman"/>
          <w:i/>
        </w:rPr>
      </w:pPr>
      <w:r w:rsidRPr="00F07C8A">
        <w:rPr>
          <w:rFonts w:ascii="Times New Roman" w:hAnsi="Times New Roman"/>
          <w:i/>
          <w:color w:val="333333"/>
        </w:rPr>
        <w:t>ИТ-сервисы и технологии обработки данных на транспорте</w:t>
      </w:r>
    </w:p>
    <w:p w14:paraId="5B8443C4" w14:textId="4FCC23AC" w:rsidR="003F44D4" w:rsidRPr="009064C9" w:rsidRDefault="00173663" w:rsidP="009064C9">
      <w:pPr>
        <w:pStyle w:val="af"/>
        <w:spacing w:before="0" w:beforeAutospacing="0" w:after="0" w:afterAutospacing="0"/>
        <w:jc w:val="both"/>
        <w:rPr>
          <w:b/>
          <w:bCs/>
          <w:color w:val="000000"/>
        </w:rPr>
      </w:pPr>
      <w:r w:rsidRPr="009064C9">
        <w:rPr>
          <w:b/>
          <w:bCs/>
          <w:color w:val="000000"/>
        </w:rPr>
        <w:t xml:space="preserve">2. </w:t>
      </w:r>
      <w:r w:rsidR="003F44D4" w:rsidRPr="009064C9">
        <w:rPr>
          <w:b/>
          <w:bCs/>
          <w:color w:val="000000"/>
        </w:rPr>
        <w:t>Устойчивое развитие транспортно-логистического комплекса для повышения уровня и качества жизни: опыт стран и регионов</w:t>
      </w:r>
      <w:r w:rsidR="00DC7CBB">
        <w:rPr>
          <w:b/>
          <w:bCs/>
          <w:color w:val="000000"/>
        </w:rPr>
        <w:t>:</w:t>
      </w:r>
      <w:r w:rsidR="003F44D4" w:rsidRPr="009064C9">
        <w:rPr>
          <w:b/>
          <w:bCs/>
          <w:color w:val="000000"/>
        </w:rPr>
        <w:t xml:space="preserve"> </w:t>
      </w:r>
    </w:p>
    <w:p w14:paraId="7C28A65E" w14:textId="77777777" w:rsidR="009064C9" w:rsidRPr="009064C9" w:rsidRDefault="000C4BAE" w:rsidP="009064C9">
      <w:pPr>
        <w:pStyle w:val="t-col"/>
        <w:spacing w:before="0" w:beforeAutospacing="0" w:after="0" w:afterAutospacing="0"/>
        <w:ind w:right="300"/>
        <w:textAlignment w:val="top"/>
        <w:rPr>
          <w:i/>
          <w:iCs/>
          <w:color w:val="000000"/>
        </w:rPr>
      </w:pPr>
      <w:r w:rsidRPr="009064C9">
        <w:rPr>
          <w:i/>
          <w:iCs/>
          <w:color w:val="000000"/>
        </w:rPr>
        <w:t>2.1</w:t>
      </w:r>
      <w:r w:rsidR="00B47553" w:rsidRPr="009064C9">
        <w:rPr>
          <w:i/>
          <w:iCs/>
          <w:color w:val="000000"/>
        </w:rPr>
        <w:t xml:space="preserve">. </w:t>
      </w:r>
      <w:r w:rsidR="009064C9" w:rsidRPr="009064C9">
        <w:rPr>
          <w:i/>
          <w:iCs/>
          <w:color w:val="000000"/>
        </w:rPr>
        <w:t xml:space="preserve">Управление процессами </w:t>
      </w:r>
      <w:proofErr w:type="gramStart"/>
      <w:r w:rsidR="009064C9" w:rsidRPr="009064C9">
        <w:rPr>
          <w:i/>
          <w:iCs/>
          <w:color w:val="000000"/>
        </w:rPr>
        <w:t>перевозок  и</w:t>
      </w:r>
      <w:proofErr w:type="gramEnd"/>
      <w:r w:rsidR="009064C9" w:rsidRPr="009064C9">
        <w:rPr>
          <w:i/>
          <w:iCs/>
          <w:color w:val="000000"/>
        </w:rPr>
        <w:t xml:space="preserve"> обеспечение безопасности  функционирование транспортной инфраструктуры.</w:t>
      </w:r>
    </w:p>
    <w:p w14:paraId="3E836121" w14:textId="77777777" w:rsidR="00B47553" w:rsidRPr="009064C9" w:rsidRDefault="00B47553" w:rsidP="009064C9">
      <w:pPr>
        <w:pStyle w:val="t-col"/>
        <w:spacing w:before="0" w:beforeAutospacing="0" w:after="0" w:afterAutospacing="0"/>
        <w:ind w:right="300"/>
        <w:textAlignment w:val="top"/>
        <w:rPr>
          <w:i/>
          <w:iCs/>
          <w:color w:val="000000"/>
        </w:rPr>
      </w:pPr>
      <w:r w:rsidRPr="009064C9">
        <w:rPr>
          <w:i/>
          <w:iCs/>
          <w:color w:val="000000"/>
        </w:rPr>
        <w:t>2.2. Вопросы оптимизации мультимодальных перевозок в условиях цифровой трансформации</w:t>
      </w:r>
    </w:p>
    <w:p w14:paraId="513207ED" w14:textId="77777777" w:rsidR="00B47553" w:rsidRPr="009064C9" w:rsidRDefault="00B47553" w:rsidP="009064C9">
      <w:pPr>
        <w:pStyle w:val="t-col"/>
        <w:spacing w:before="0" w:beforeAutospacing="0" w:after="0" w:afterAutospacing="0"/>
        <w:ind w:right="300"/>
        <w:textAlignment w:val="top"/>
        <w:rPr>
          <w:i/>
          <w:iCs/>
          <w:color w:val="000000"/>
        </w:rPr>
      </w:pPr>
      <w:r w:rsidRPr="009064C9">
        <w:rPr>
          <w:i/>
          <w:iCs/>
          <w:color w:val="000000"/>
        </w:rPr>
        <w:t>2.3. Поиск новых логистических схем и эффективных инструментов устойчивого развития транспорта</w:t>
      </w:r>
    </w:p>
    <w:p w14:paraId="0767003E" w14:textId="77777777" w:rsidR="009A0CF6" w:rsidRPr="009064C9" w:rsidRDefault="00AD2DD4" w:rsidP="009064C9">
      <w:pPr>
        <w:pStyle w:val="t-col"/>
        <w:spacing w:before="0" w:beforeAutospacing="0" w:after="0" w:afterAutospacing="0"/>
        <w:ind w:right="300"/>
        <w:jc w:val="both"/>
        <w:textAlignment w:val="top"/>
        <w:rPr>
          <w:b/>
          <w:bCs/>
          <w:color w:val="000000"/>
        </w:rPr>
      </w:pPr>
      <w:r w:rsidRPr="009064C9">
        <w:rPr>
          <w:b/>
          <w:bCs/>
          <w:color w:val="000000"/>
        </w:rPr>
        <w:t xml:space="preserve">3. </w:t>
      </w:r>
      <w:r w:rsidR="00221B7F" w:rsidRPr="009064C9">
        <w:rPr>
          <w:b/>
          <w:bCs/>
          <w:color w:val="000000"/>
        </w:rPr>
        <w:t>Цифровизация</w:t>
      </w:r>
      <w:r w:rsidR="00221B7F" w:rsidRPr="009064C9">
        <w:rPr>
          <w:b/>
          <w:bCs/>
          <w:color w:val="000000"/>
          <w:lang w:val="uz-Cyrl-UZ"/>
        </w:rPr>
        <w:t xml:space="preserve"> </w:t>
      </w:r>
      <w:r w:rsidRPr="009064C9">
        <w:rPr>
          <w:b/>
          <w:bCs/>
          <w:color w:val="000000"/>
        </w:rPr>
        <w:t>в транспортном строительстве: актуальные проблемы, достижения и инновации:</w:t>
      </w:r>
    </w:p>
    <w:p w14:paraId="158108A4" w14:textId="77777777" w:rsidR="00AD2DD4" w:rsidRPr="009064C9" w:rsidRDefault="00AD2DD4" w:rsidP="009064C9">
      <w:pPr>
        <w:pStyle w:val="t-col"/>
        <w:spacing w:before="0" w:beforeAutospacing="0" w:after="0" w:afterAutospacing="0"/>
        <w:ind w:right="300"/>
        <w:textAlignment w:val="top"/>
        <w:rPr>
          <w:i/>
          <w:iCs/>
          <w:color w:val="000000"/>
        </w:rPr>
      </w:pPr>
      <w:r w:rsidRPr="009064C9">
        <w:rPr>
          <w:i/>
          <w:iCs/>
          <w:color w:val="000000"/>
        </w:rPr>
        <w:t>3.1. С</w:t>
      </w:r>
      <w:r w:rsidR="009A0CF6" w:rsidRPr="009064C9">
        <w:rPr>
          <w:i/>
          <w:iCs/>
          <w:color w:val="000000"/>
        </w:rPr>
        <w:t>овременные геотехнологии в строительстве;</w:t>
      </w:r>
    </w:p>
    <w:p w14:paraId="12354550" w14:textId="77777777" w:rsidR="009A0CF6" w:rsidRPr="009064C9" w:rsidRDefault="00AD2DD4" w:rsidP="009064C9">
      <w:pPr>
        <w:pStyle w:val="t-col"/>
        <w:spacing w:before="0" w:beforeAutospacing="0" w:after="0" w:afterAutospacing="0"/>
        <w:ind w:right="300"/>
        <w:textAlignment w:val="top"/>
        <w:rPr>
          <w:i/>
          <w:iCs/>
          <w:color w:val="000000"/>
        </w:rPr>
      </w:pPr>
      <w:r w:rsidRPr="009064C9">
        <w:rPr>
          <w:i/>
          <w:iCs/>
          <w:color w:val="000000"/>
        </w:rPr>
        <w:t>3.2. С</w:t>
      </w:r>
      <w:r w:rsidR="009A0CF6" w:rsidRPr="009064C9">
        <w:rPr>
          <w:i/>
          <w:iCs/>
          <w:color w:val="000000"/>
        </w:rPr>
        <w:t>троительство и эксплуатация объектов инфраструктуры железных дорог;</w:t>
      </w:r>
    </w:p>
    <w:p w14:paraId="20B0B75A" w14:textId="77777777" w:rsidR="00221B7F" w:rsidRPr="009064C9" w:rsidRDefault="00221B7F" w:rsidP="009064C9">
      <w:pPr>
        <w:pStyle w:val="t-col"/>
        <w:spacing w:before="0" w:beforeAutospacing="0" w:after="0" w:afterAutospacing="0"/>
        <w:ind w:right="300"/>
        <w:textAlignment w:val="top"/>
        <w:rPr>
          <w:i/>
          <w:iCs/>
          <w:color w:val="000000"/>
          <w:lang w:val="uz-Cyrl-UZ"/>
        </w:rPr>
      </w:pPr>
      <w:r w:rsidRPr="009064C9">
        <w:rPr>
          <w:i/>
          <w:iCs/>
          <w:color w:val="000000"/>
        </w:rPr>
        <w:t xml:space="preserve">3.3. </w:t>
      </w:r>
      <w:r w:rsidR="00960A6F" w:rsidRPr="009064C9">
        <w:rPr>
          <w:i/>
          <w:iCs/>
          <w:color w:val="000000"/>
        </w:rPr>
        <w:t>Дорожное строительство: цифровизация, современные технологии и инновации.</w:t>
      </w:r>
    </w:p>
    <w:p w14:paraId="3676AE65" w14:textId="77777777" w:rsidR="009A0CF6" w:rsidRPr="009064C9" w:rsidRDefault="00AD2DD4" w:rsidP="009064C9">
      <w:pPr>
        <w:pStyle w:val="t-col"/>
        <w:spacing w:before="0" w:beforeAutospacing="0" w:after="0" w:afterAutospacing="0"/>
        <w:ind w:right="300"/>
        <w:textAlignment w:val="top"/>
        <w:rPr>
          <w:i/>
          <w:iCs/>
          <w:color w:val="000000"/>
        </w:rPr>
      </w:pPr>
      <w:r w:rsidRPr="009064C9">
        <w:rPr>
          <w:i/>
          <w:iCs/>
          <w:color w:val="000000"/>
        </w:rPr>
        <w:t xml:space="preserve">3.3. </w:t>
      </w:r>
      <w:r w:rsidR="009A0CF6" w:rsidRPr="009064C9">
        <w:rPr>
          <w:i/>
          <w:iCs/>
          <w:color w:val="000000"/>
        </w:rPr>
        <w:t>Цифровая инженерная коммуникация и систем</w:t>
      </w:r>
      <w:r w:rsidR="009064C9" w:rsidRPr="009064C9">
        <w:rPr>
          <w:i/>
          <w:iCs/>
          <w:color w:val="000000"/>
        </w:rPr>
        <w:t>ы</w:t>
      </w:r>
      <w:r w:rsidR="009A0CF6" w:rsidRPr="009064C9">
        <w:rPr>
          <w:i/>
          <w:iCs/>
          <w:color w:val="000000"/>
        </w:rPr>
        <w:t>;</w:t>
      </w:r>
    </w:p>
    <w:p w14:paraId="020D2319" w14:textId="77777777" w:rsidR="009A0CF6" w:rsidRPr="009064C9" w:rsidRDefault="00AD2DD4" w:rsidP="009064C9">
      <w:pPr>
        <w:pStyle w:val="t-col"/>
        <w:spacing w:before="0" w:beforeAutospacing="0" w:after="0" w:afterAutospacing="0"/>
        <w:ind w:right="300"/>
        <w:textAlignment w:val="top"/>
        <w:rPr>
          <w:i/>
          <w:iCs/>
          <w:color w:val="000000"/>
        </w:rPr>
      </w:pPr>
      <w:r w:rsidRPr="009064C9">
        <w:rPr>
          <w:i/>
          <w:iCs/>
          <w:color w:val="000000"/>
        </w:rPr>
        <w:t xml:space="preserve">3.4. </w:t>
      </w:r>
      <w:r w:rsidR="009A0CF6" w:rsidRPr="009064C9">
        <w:rPr>
          <w:i/>
          <w:iCs/>
          <w:color w:val="000000"/>
        </w:rPr>
        <w:t>Строительные материалы и конструкции;</w:t>
      </w:r>
    </w:p>
    <w:p w14:paraId="4D0837B8" w14:textId="77777777" w:rsidR="009A0CF6" w:rsidRPr="009064C9" w:rsidRDefault="00AD2DD4" w:rsidP="009064C9">
      <w:pPr>
        <w:pStyle w:val="t-col"/>
        <w:spacing w:before="0" w:beforeAutospacing="0" w:after="0" w:afterAutospacing="0"/>
        <w:ind w:right="300"/>
        <w:textAlignment w:val="top"/>
        <w:rPr>
          <w:i/>
          <w:iCs/>
          <w:color w:val="000000"/>
        </w:rPr>
      </w:pPr>
      <w:r w:rsidRPr="009064C9">
        <w:rPr>
          <w:i/>
          <w:iCs/>
          <w:color w:val="000000"/>
        </w:rPr>
        <w:t xml:space="preserve">3.5. </w:t>
      </w:r>
      <w:r w:rsidR="009A0CF6" w:rsidRPr="009064C9">
        <w:rPr>
          <w:i/>
          <w:iCs/>
          <w:color w:val="000000"/>
        </w:rPr>
        <w:t xml:space="preserve">Инновационные </w:t>
      </w:r>
      <w:proofErr w:type="gramStart"/>
      <w:r w:rsidR="009A0CF6" w:rsidRPr="009064C9">
        <w:rPr>
          <w:i/>
          <w:iCs/>
          <w:color w:val="000000"/>
        </w:rPr>
        <w:t xml:space="preserve">технологии </w:t>
      </w:r>
      <w:r w:rsidR="009064C9" w:rsidRPr="009064C9">
        <w:rPr>
          <w:i/>
          <w:iCs/>
          <w:color w:val="000000"/>
        </w:rPr>
        <w:t xml:space="preserve"> и</w:t>
      </w:r>
      <w:proofErr w:type="gramEnd"/>
      <w:r w:rsidR="009064C9" w:rsidRPr="009064C9">
        <w:rPr>
          <w:i/>
          <w:iCs/>
          <w:color w:val="000000"/>
        </w:rPr>
        <w:t xml:space="preserve"> </w:t>
      </w:r>
      <w:r w:rsidR="009A0CF6" w:rsidRPr="009064C9">
        <w:rPr>
          <w:i/>
          <w:iCs/>
          <w:color w:val="000000"/>
        </w:rPr>
        <w:t xml:space="preserve"> инженер</w:t>
      </w:r>
      <w:r w:rsidR="009064C9" w:rsidRPr="009064C9">
        <w:rPr>
          <w:i/>
          <w:iCs/>
          <w:color w:val="000000"/>
        </w:rPr>
        <w:t>ные решения в строительстве</w:t>
      </w:r>
      <w:r w:rsidR="009A0CF6" w:rsidRPr="009064C9">
        <w:rPr>
          <w:i/>
          <w:iCs/>
          <w:color w:val="000000"/>
        </w:rPr>
        <w:t xml:space="preserve"> мостов, тоннелей;</w:t>
      </w:r>
    </w:p>
    <w:p w14:paraId="4F4E6C2E" w14:textId="77777777" w:rsidR="009A0CF6" w:rsidRPr="009064C9" w:rsidRDefault="00AD2DD4" w:rsidP="009064C9">
      <w:pPr>
        <w:pStyle w:val="t-col"/>
        <w:spacing w:before="0" w:beforeAutospacing="0" w:after="0" w:afterAutospacing="0"/>
        <w:ind w:right="300"/>
        <w:textAlignment w:val="top"/>
        <w:rPr>
          <w:i/>
          <w:iCs/>
          <w:color w:val="000000"/>
        </w:rPr>
      </w:pPr>
      <w:r w:rsidRPr="009064C9">
        <w:rPr>
          <w:i/>
          <w:iCs/>
          <w:color w:val="000000"/>
        </w:rPr>
        <w:t>3.6. М</w:t>
      </w:r>
      <w:r w:rsidR="009A0CF6" w:rsidRPr="009064C9">
        <w:rPr>
          <w:i/>
          <w:iCs/>
          <w:color w:val="000000"/>
        </w:rPr>
        <w:t>атематическое</w:t>
      </w:r>
      <w:r w:rsidR="009064C9" w:rsidRPr="009064C9">
        <w:rPr>
          <w:i/>
          <w:iCs/>
          <w:color w:val="000000"/>
        </w:rPr>
        <w:t xml:space="preserve"> и</w:t>
      </w:r>
      <w:r w:rsidR="009A0CF6" w:rsidRPr="009064C9">
        <w:rPr>
          <w:i/>
          <w:iCs/>
          <w:color w:val="000000"/>
        </w:rPr>
        <w:t xml:space="preserve"> </w:t>
      </w:r>
      <w:r w:rsidR="009064C9" w:rsidRPr="009064C9">
        <w:rPr>
          <w:i/>
          <w:iCs/>
          <w:color w:val="000000"/>
        </w:rPr>
        <w:t xml:space="preserve">прикладные </w:t>
      </w:r>
      <w:proofErr w:type="gramStart"/>
      <w:r w:rsidR="009A0CF6" w:rsidRPr="009064C9">
        <w:rPr>
          <w:i/>
          <w:iCs/>
          <w:color w:val="000000"/>
        </w:rPr>
        <w:t xml:space="preserve">методы  </w:t>
      </w:r>
      <w:r w:rsidR="009064C9" w:rsidRPr="009064C9">
        <w:rPr>
          <w:i/>
          <w:iCs/>
          <w:color w:val="000000"/>
        </w:rPr>
        <w:t>решения</w:t>
      </w:r>
      <w:proofErr w:type="gramEnd"/>
      <w:r w:rsidR="009A0CF6" w:rsidRPr="009064C9">
        <w:rPr>
          <w:i/>
          <w:iCs/>
          <w:color w:val="000000"/>
        </w:rPr>
        <w:t xml:space="preserve"> задач</w:t>
      </w:r>
      <w:r w:rsidR="00221B7F" w:rsidRPr="009064C9">
        <w:rPr>
          <w:i/>
          <w:iCs/>
          <w:color w:val="000000"/>
        </w:rPr>
        <w:t>.</w:t>
      </w:r>
    </w:p>
    <w:p w14:paraId="0E99057E" w14:textId="2D1FA6EA" w:rsidR="00B47553" w:rsidRPr="009064C9" w:rsidRDefault="00D0651F" w:rsidP="009064C9">
      <w:pPr>
        <w:pStyle w:val="af"/>
        <w:spacing w:before="0" w:beforeAutospacing="0" w:after="0" w:afterAutospacing="0"/>
        <w:jc w:val="both"/>
        <w:rPr>
          <w:b/>
          <w:bCs/>
          <w:color w:val="000000"/>
        </w:rPr>
      </w:pPr>
      <w:r w:rsidRPr="009064C9">
        <w:rPr>
          <w:b/>
          <w:bCs/>
          <w:color w:val="000000"/>
        </w:rPr>
        <w:t>4</w:t>
      </w:r>
      <w:r w:rsidR="00173663" w:rsidRPr="009064C9">
        <w:rPr>
          <w:b/>
          <w:bCs/>
          <w:color w:val="000000"/>
        </w:rPr>
        <w:t xml:space="preserve">. </w:t>
      </w:r>
      <w:r w:rsidR="003F44D4" w:rsidRPr="009064C9">
        <w:rPr>
          <w:b/>
          <w:bCs/>
          <w:color w:val="000000"/>
        </w:rPr>
        <w:t>Инжиниринг</w:t>
      </w:r>
      <w:r w:rsidR="003F44D4" w:rsidRPr="009064C9">
        <w:rPr>
          <w:b/>
          <w:bCs/>
          <w:color w:val="000000"/>
          <w:lang w:val="en-US"/>
        </w:rPr>
        <w:t> </w:t>
      </w:r>
      <w:proofErr w:type="gramStart"/>
      <w:r w:rsidR="003F44D4" w:rsidRPr="009064C9">
        <w:rPr>
          <w:b/>
          <w:bCs/>
          <w:color w:val="000000"/>
        </w:rPr>
        <w:t>транспорта</w:t>
      </w:r>
      <w:r w:rsidR="003F44D4" w:rsidRPr="009064C9">
        <w:rPr>
          <w:b/>
          <w:bCs/>
          <w:color w:val="000000"/>
          <w:lang w:val="en-US"/>
        </w:rPr>
        <w:t> </w:t>
      </w:r>
      <w:r w:rsidR="003F44D4" w:rsidRPr="009064C9">
        <w:rPr>
          <w:b/>
          <w:bCs/>
          <w:color w:val="000000"/>
        </w:rPr>
        <w:t xml:space="preserve"> в</w:t>
      </w:r>
      <w:proofErr w:type="gramEnd"/>
      <w:r w:rsidR="003F44D4" w:rsidRPr="009064C9">
        <w:rPr>
          <w:b/>
          <w:bCs/>
          <w:color w:val="000000"/>
        </w:rPr>
        <w:t xml:space="preserve"> </w:t>
      </w:r>
      <w:r w:rsidR="003F44D4" w:rsidRPr="009064C9">
        <w:rPr>
          <w:b/>
          <w:bCs/>
          <w:color w:val="000000"/>
          <w:lang w:val="en-US"/>
        </w:rPr>
        <w:t>ESG</w:t>
      </w:r>
      <w:r w:rsidR="003F44D4" w:rsidRPr="009064C9">
        <w:rPr>
          <w:b/>
          <w:bCs/>
          <w:color w:val="000000"/>
        </w:rPr>
        <w:t>-</w:t>
      </w:r>
      <w:r w:rsidR="003F44D4" w:rsidRPr="009064C9">
        <w:rPr>
          <w:b/>
          <w:bCs/>
          <w:color w:val="000000"/>
          <w:lang w:val="uz-Cyrl-UZ"/>
        </w:rPr>
        <w:t>повестке</w:t>
      </w:r>
      <w:r w:rsidR="00DC7CBB">
        <w:rPr>
          <w:b/>
          <w:bCs/>
          <w:color w:val="000000"/>
          <w:lang w:val="uz-Cyrl-UZ"/>
        </w:rPr>
        <w:t>:</w:t>
      </w:r>
    </w:p>
    <w:p w14:paraId="1F747204" w14:textId="77777777" w:rsidR="00C11353" w:rsidRPr="009064C9" w:rsidRDefault="00D0651F" w:rsidP="009064C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64C9">
        <w:rPr>
          <w:rFonts w:ascii="Times New Roman" w:hAnsi="Times New Roman"/>
          <w:i/>
          <w:iCs/>
          <w:color w:val="000000"/>
          <w:sz w:val="24"/>
          <w:szCs w:val="24"/>
        </w:rPr>
        <w:t>4</w:t>
      </w:r>
      <w:r w:rsidR="00B47553" w:rsidRPr="009064C9">
        <w:rPr>
          <w:rFonts w:ascii="Times New Roman" w:hAnsi="Times New Roman"/>
          <w:i/>
          <w:iCs/>
          <w:color w:val="000000"/>
          <w:sz w:val="24"/>
          <w:szCs w:val="24"/>
        </w:rPr>
        <w:t xml:space="preserve">.1. </w:t>
      </w:r>
      <w:r w:rsidR="003F44D4" w:rsidRPr="009064C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C11353" w:rsidRPr="009064C9">
        <w:rPr>
          <w:rFonts w:ascii="Times New Roman" w:hAnsi="Times New Roman"/>
          <w:i/>
          <w:iCs/>
          <w:sz w:val="24"/>
          <w:szCs w:val="24"/>
        </w:rPr>
        <w:t>Инновационны</w:t>
      </w:r>
      <w:r w:rsidR="00534124">
        <w:rPr>
          <w:rFonts w:ascii="Times New Roman" w:hAnsi="Times New Roman"/>
          <w:i/>
          <w:iCs/>
          <w:sz w:val="24"/>
          <w:szCs w:val="24"/>
        </w:rPr>
        <w:t xml:space="preserve">й </w:t>
      </w:r>
      <w:r w:rsidR="00C11353" w:rsidRPr="009064C9">
        <w:rPr>
          <w:rFonts w:ascii="Times New Roman" w:hAnsi="Times New Roman"/>
          <w:i/>
          <w:iCs/>
          <w:sz w:val="24"/>
          <w:szCs w:val="24"/>
        </w:rPr>
        <w:t xml:space="preserve"> подвижной</w:t>
      </w:r>
      <w:proofErr w:type="gramEnd"/>
      <w:r w:rsidR="00C11353" w:rsidRPr="009064C9">
        <w:rPr>
          <w:rFonts w:ascii="Times New Roman" w:hAnsi="Times New Roman"/>
          <w:i/>
          <w:iCs/>
          <w:sz w:val="24"/>
          <w:szCs w:val="24"/>
        </w:rPr>
        <w:t xml:space="preserve"> состав железных дорог и транспортная техника.</w:t>
      </w:r>
    </w:p>
    <w:p w14:paraId="5146C29E" w14:textId="77777777" w:rsidR="00635188" w:rsidRPr="009064C9" w:rsidRDefault="00D0651F" w:rsidP="009064C9">
      <w:pPr>
        <w:spacing w:after="0" w:line="240" w:lineRule="auto"/>
        <w:rPr>
          <w:rFonts w:ascii="Times New Roman" w:hAnsi="Times New Roman"/>
          <w:i/>
          <w:iCs/>
          <w:color w:val="242628"/>
          <w:sz w:val="24"/>
          <w:szCs w:val="24"/>
          <w:lang w:eastAsia="ru-RU"/>
        </w:rPr>
      </w:pPr>
      <w:r w:rsidRPr="009064C9">
        <w:rPr>
          <w:rFonts w:ascii="Times New Roman" w:hAnsi="Times New Roman"/>
          <w:i/>
          <w:iCs/>
          <w:sz w:val="24"/>
          <w:szCs w:val="24"/>
          <w:lang w:eastAsia="ru-RU"/>
        </w:rPr>
        <w:t>4</w:t>
      </w:r>
      <w:r w:rsidR="00635188" w:rsidRPr="009064C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.2. </w:t>
      </w:r>
      <w:r w:rsidR="00635188" w:rsidRPr="009064C9">
        <w:rPr>
          <w:rFonts w:ascii="Times New Roman" w:hAnsi="Times New Roman"/>
          <w:i/>
          <w:iCs/>
          <w:color w:val="242628"/>
          <w:sz w:val="24"/>
          <w:szCs w:val="24"/>
        </w:rPr>
        <w:t>Подходы к ESG-трансформации на транспорте</w:t>
      </w:r>
    </w:p>
    <w:p w14:paraId="22A505F6" w14:textId="77777777" w:rsidR="000351EE" w:rsidRPr="009064C9" w:rsidRDefault="00D0651F" w:rsidP="009064C9">
      <w:pPr>
        <w:spacing w:after="0" w:line="240" w:lineRule="auto"/>
        <w:rPr>
          <w:rStyle w:val="a6"/>
          <w:rFonts w:ascii="Times New Roman" w:hAnsi="Times New Roman"/>
          <w:b w:val="0"/>
          <w:bCs w:val="0"/>
          <w:i/>
          <w:iCs/>
          <w:color w:val="212121"/>
          <w:sz w:val="24"/>
          <w:szCs w:val="24"/>
        </w:rPr>
      </w:pPr>
      <w:r w:rsidRPr="009064C9">
        <w:rPr>
          <w:rFonts w:ascii="Times New Roman" w:hAnsi="Times New Roman"/>
          <w:i/>
          <w:iCs/>
          <w:sz w:val="24"/>
          <w:szCs w:val="24"/>
          <w:lang w:eastAsia="ru-RU"/>
        </w:rPr>
        <w:t>4</w:t>
      </w:r>
      <w:r w:rsidR="000351EE" w:rsidRPr="009064C9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0351EE" w:rsidRPr="009064C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3. </w:t>
      </w:r>
      <w:r w:rsidR="000351EE" w:rsidRPr="009064C9">
        <w:rPr>
          <w:rStyle w:val="a6"/>
          <w:rFonts w:ascii="Times New Roman" w:hAnsi="Times New Roman"/>
          <w:b w:val="0"/>
          <w:bCs w:val="0"/>
          <w:i/>
          <w:iCs/>
          <w:color w:val="212121"/>
          <w:sz w:val="24"/>
          <w:szCs w:val="24"/>
        </w:rPr>
        <w:t>Актуальные проблемы инженерной механики</w:t>
      </w:r>
      <w:r w:rsidR="00C11353" w:rsidRPr="009064C9">
        <w:rPr>
          <w:rFonts w:ascii="Times New Roman" w:hAnsi="Times New Roman"/>
          <w:sz w:val="24"/>
          <w:szCs w:val="24"/>
        </w:rPr>
        <w:t xml:space="preserve"> </w:t>
      </w:r>
    </w:p>
    <w:p w14:paraId="2FE26AB0" w14:textId="3A155868" w:rsidR="003F44D4" w:rsidRPr="009064C9" w:rsidRDefault="00D0651F" w:rsidP="009064C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64C9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173663" w:rsidRPr="009064C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9064C9" w:rsidRPr="009064C9">
        <w:rPr>
          <w:rFonts w:ascii="Times New Roman" w:hAnsi="Times New Roman"/>
          <w:b/>
          <w:bCs/>
          <w:color w:val="000000"/>
          <w:sz w:val="24"/>
          <w:szCs w:val="24"/>
        </w:rPr>
        <w:t>Философские, правовые, исторические, социологические, лингвистические и психологические аспекты устойчивого развития транспорта</w:t>
      </w:r>
      <w:r w:rsidR="00DC7CB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1C239DE2" w14:textId="77777777" w:rsidR="00C11353" w:rsidRPr="009064C9" w:rsidRDefault="00D0651F" w:rsidP="009064C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064C9">
        <w:rPr>
          <w:rFonts w:ascii="Times New Roman" w:hAnsi="Times New Roman"/>
          <w:i/>
          <w:iCs/>
          <w:color w:val="000000"/>
          <w:sz w:val="24"/>
          <w:szCs w:val="24"/>
        </w:rPr>
        <w:t>5</w:t>
      </w:r>
      <w:r w:rsidR="00C11353" w:rsidRPr="009064C9">
        <w:rPr>
          <w:rFonts w:ascii="Times New Roman" w:hAnsi="Times New Roman"/>
          <w:i/>
          <w:iCs/>
          <w:color w:val="000000"/>
          <w:sz w:val="24"/>
          <w:szCs w:val="24"/>
        </w:rPr>
        <w:t xml:space="preserve">.1. </w:t>
      </w:r>
      <w:r w:rsidR="00FF0717" w:rsidRPr="009064C9">
        <w:rPr>
          <w:rFonts w:ascii="Times New Roman" w:hAnsi="Times New Roman"/>
          <w:i/>
          <w:iCs/>
          <w:sz w:val="24"/>
          <w:szCs w:val="24"/>
        </w:rPr>
        <w:t xml:space="preserve">Лингвистические аспекты подготовки кадров для устойчивого </w:t>
      </w:r>
      <w:proofErr w:type="gramStart"/>
      <w:r w:rsidR="00FF0717" w:rsidRPr="009064C9">
        <w:rPr>
          <w:rFonts w:ascii="Times New Roman" w:hAnsi="Times New Roman"/>
          <w:i/>
          <w:iCs/>
          <w:sz w:val="24"/>
          <w:szCs w:val="24"/>
        </w:rPr>
        <w:t>развития  транспорта</w:t>
      </w:r>
      <w:proofErr w:type="gramEnd"/>
    </w:p>
    <w:p w14:paraId="1D6CA691" w14:textId="77777777" w:rsidR="00FF0717" w:rsidRPr="009064C9" w:rsidRDefault="00D0651F" w:rsidP="009064C9">
      <w:pPr>
        <w:tabs>
          <w:tab w:val="left" w:pos="4440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064C9">
        <w:rPr>
          <w:rFonts w:ascii="Times New Roman" w:hAnsi="Times New Roman"/>
          <w:i/>
          <w:iCs/>
          <w:sz w:val="24"/>
          <w:szCs w:val="24"/>
        </w:rPr>
        <w:t>5</w:t>
      </w:r>
      <w:r w:rsidR="00FF0717" w:rsidRPr="009064C9">
        <w:rPr>
          <w:rFonts w:ascii="Times New Roman" w:hAnsi="Times New Roman"/>
          <w:i/>
          <w:iCs/>
          <w:sz w:val="24"/>
          <w:szCs w:val="24"/>
        </w:rPr>
        <w:t>.2.</w:t>
      </w:r>
      <w:r w:rsidR="005341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F0717" w:rsidRPr="009064C9">
        <w:rPr>
          <w:rFonts w:ascii="Times New Roman" w:hAnsi="Times New Roman"/>
          <w:i/>
          <w:iCs/>
          <w:sz w:val="24"/>
          <w:szCs w:val="24"/>
        </w:rPr>
        <w:t>Н</w:t>
      </w:r>
      <w:r w:rsidR="00FF0717" w:rsidRPr="009064C9">
        <w:rPr>
          <w:rFonts w:ascii="Times New Roman" w:hAnsi="Times New Roman"/>
          <w:i/>
          <w:iCs/>
          <w:color w:val="000000"/>
          <w:sz w:val="24"/>
          <w:szCs w:val="24"/>
        </w:rPr>
        <w:t>ормативно-правовое регулирование устойчивого развития транспортно-логистического комплекса</w:t>
      </w:r>
    </w:p>
    <w:p w14:paraId="5E156395" w14:textId="77777777" w:rsidR="00DC7CBB" w:rsidRDefault="00D0651F" w:rsidP="009064C9">
      <w:pPr>
        <w:tabs>
          <w:tab w:val="left" w:pos="4440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064C9">
        <w:rPr>
          <w:rFonts w:ascii="Times New Roman" w:hAnsi="Times New Roman"/>
          <w:i/>
          <w:iCs/>
          <w:color w:val="000000"/>
          <w:sz w:val="24"/>
          <w:szCs w:val="24"/>
        </w:rPr>
        <w:t>5</w:t>
      </w:r>
      <w:r w:rsidR="00FF0717" w:rsidRPr="009064C9">
        <w:rPr>
          <w:rFonts w:ascii="Times New Roman" w:hAnsi="Times New Roman"/>
          <w:i/>
          <w:iCs/>
          <w:color w:val="000000"/>
          <w:sz w:val="24"/>
          <w:szCs w:val="24"/>
        </w:rPr>
        <w:t xml:space="preserve">.3. </w:t>
      </w:r>
      <w:r w:rsidR="00DC7CBB" w:rsidRPr="00DC7CBB">
        <w:rPr>
          <w:rFonts w:ascii="Times New Roman" w:hAnsi="Times New Roman"/>
          <w:i/>
          <w:iCs/>
          <w:color w:val="000000"/>
          <w:sz w:val="24"/>
          <w:szCs w:val="24"/>
        </w:rPr>
        <w:t xml:space="preserve">Философско-социологические аспекты подготовки современного специалиста для устойчивого развития транспорта. </w:t>
      </w:r>
    </w:p>
    <w:p w14:paraId="42A75D95" w14:textId="37088CFC" w:rsidR="003F44D4" w:rsidRPr="009064C9" w:rsidRDefault="00D0651F" w:rsidP="009064C9">
      <w:pPr>
        <w:tabs>
          <w:tab w:val="left" w:pos="44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64C9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173663" w:rsidRPr="009064C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3F44D4" w:rsidRPr="009064C9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Стратегические направления трансформации сферы транспорта  </w:t>
      </w:r>
    </w:p>
    <w:p w14:paraId="29BE0103" w14:textId="77777777" w:rsidR="00173663" w:rsidRPr="009064C9" w:rsidRDefault="00D0651F" w:rsidP="009064C9">
      <w:pPr>
        <w:pStyle w:val="af"/>
        <w:spacing w:before="0" w:beforeAutospacing="0" w:after="0" w:afterAutospacing="0"/>
        <w:jc w:val="both"/>
        <w:rPr>
          <w:i/>
          <w:iCs/>
          <w:color w:val="000000"/>
        </w:rPr>
      </w:pPr>
      <w:r w:rsidRPr="009064C9">
        <w:rPr>
          <w:i/>
          <w:iCs/>
          <w:color w:val="000000"/>
        </w:rPr>
        <w:lastRenderedPageBreak/>
        <w:t>6</w:t>
      </w:r>
      <w:r w:rsidR="00173663" w:rsidRPr="009064C9">
        <w:rPr>
          <w:i/>
          <w:iCs/>
          <w:color w:val="000000"/>
        </w:rPr>
        <w:t>.1. Развитие международных транспортных коридоров и путей в поддержку устойчивого развития мировой торговли с учетом ESG-повестки.</w:t>
      </w:r>
    </w:p>
    <w:p w14:paraId="7939886F" w14:textId="77777777" w:rsidR="00173663" w:rsidRPr="009064C9" w:rsidRDefault="00D0651F" w:rsidP="009064C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064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6</w:t>
      </w:r>
      <w:r w:rsidR="00173663" w:rsidRPr="009064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.2. Научный и кадровый потенциал для решения масштабных задач: инструменты для повышения.</w:t>
      </w:r>
    </w:p>
    <w:p w14:paraId="2F33FAF1" w14:textId="77777777" w:rsidR="003F44D4" w:rsidRPr="009064C9" w:rsidRDefault="003F44D4" w:rsidP="009064C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064C9">
        <w:rPr>
          <w:rFonts w:ascii="Times New Roman" w:hAnsi="Times New Roman"/>
          <w:color w:val="000000"/>
          <w:sz w:val="24"/>
          <w:szCs w:val="24"/>
        </w:rPr>
        <w:t xml:space="preserve">По итогам конференции будет выпущена международная научная книга с индексацией в </w:t>
      </w:r>
      <w:proofErr w:type="spellStart"/>
      <w:r w:rsidRPr="009064C9">
        <w:rPr>
          <w:rFonts w:ascii="Times New Roman" w:hAnsi="Times New Roman"/>
          <w:color w:val="000000"/>
          <w:sz w:val="24"/>
          <w:szCs w:val="24"/>
        </w:rPr>
        <w:t>наукометрической</w:t>
      </w:r>
      <w:proofErr w:type="spellEnd"/>
      <w:r w:rsidRPr="009064C9">
        <w:rPr>
          <w:rFonts w:ascii="Times New Roman" w:hAnsi="Times New Roman"/>
          <w:color w:val="000000"/>
          <w:sz w:val="24"/>
          <w:szCs w:val="24"/>
        </w:rPr>
        <w:t xml:space="preserve"> базе </w:t>
      </w:r>
      <w:r w:rsidRPr="00F07C8A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Scopus</w:t>
      </w:r>
      <w:r w:rsidRPr="009064C9">
        <w:rPr>
          <w:rFonts w:ascii="Times New Roman" w:hAnsi="Times New Roman"/>
          <w:color w:val="000000"/>
          <w:sz w:val="24"/>
          <w:szCs w:val="24"/>
        </w:rPr>
        <w:t xml:space="preserve">, в которой </w:t>
      </w:r>
      <w:r w:rsidRPr="00F07C8A">
        <w:rPr>
          <w:rFonts w:ascii="Times New Roman" w:hAnsi="Times New Roman"/>
          <w:b/>
          <w:color w:val="000000"/>
          <w:sz w:val="24"/>
          <w:szCs w:val="24"/>
          <w:u w:val="single"/>
        </w:rPr>
        <w:t>будут опубликованы</w:t>
      </w:r>
      <w:r w:rsidRPr="009064C9">
        <w:rPr>
          <w:rFonts w:ascii="Times New Roman" w:hAnsi="Times New Roman"/>
          <w:color w:val="000000"/>
          <w:sz w:val="24"/>
          <w:szCs w:val="24"/>
        </w:rPr>
        <w:t xml:space="preserve"> статьи участников конференции, прошедшие двойное «слепое» рецензирование.</w:t>
      </w:r>
    </w:p>
    <w:p w14:paraId="782EC9B0" w14:textId="581D1B7F" w:rsidR="003F44D4" w:rsidRPr="009064C9" w:rsidRDefault="003F44D4" w:rsidP="00906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BFB">
        <w:rPr>
          <w:rFonts w:ascii="Times New Roman" w:hAnsi="Times New Roman"/>
          <w:sz w:val="24"/>
          <w:szCs w:val="24"/>
        </w:rPr>
        <w:t xml:space="preserve">Статьи, прошедшие </w:t>
      </w:r>
      <w:r w:rsidRPr="008A2BFB">
        <w:rPr>
          <w:rFonts w:ascii="Times New Roman" w:hAnsi="Times New Roman"/>
          <w:b/>
          <w:sz w:val="24"/>
          <w:szCs w:val="24"/>
        </w:rPr>
        <w:t>двойное рецензирование</w:t>
      </w:r>
      <w:r w:rsidRPr="008A2BFB">
        <w:rPr>
          <w:rFonts w:ascii="Times New Roman" w:hAnsi="Times New Roman"/>
          <w:sz w:val="24"/>
          <w:szCs w:val="24"/>
        </w:rPr>
        <w:t xml:space="preserve">, будут опубликованы в </w:t>
      </w:r>
      <w:r w:rsidRPr="008A2BFB">
        <w:rPr>
          <w:rFonts w:ascii="Times New Roman" w:hAnsi="Times New Roman"/>
          <w:b/>
          <w:sz w:val="24"/>
          <w:szCs w:val="24"/>
        </w:rPr>
        <w:t>серии книг издательства</w:t>
      </w:r>
      <w:r w:rsidRPr="008A2BFB">
        <w:rPr>
          <w:rFonts w:ascii="Times New Roman" w:hAnsi="Times New Roman"/>
          <w:sz w:val="24"/>
          <w:szCs w:val="24"/>
        </w:rPr>
        <w:t xml:space="preserve">, </w:t>
      </w:r>
      <w:r w:rsidRPr="008A2BFB">
        <w:rPr>
          <w:rFonts w:ascii="Times New Roman" w:hAnsi="Times New Roman"/>
          <w:b/>
          <w:sz w:val="24"/>
          <w:szCs w:val="24"/>
        </w:rPr>
        <w:t>которые будут рецензироваться в международных базах цитирования SCOPUS</w:t>
      </w:r>
      <w:r w:rsidRPr="008A2BFB">
        <w:rPr>
          <w:rFonts w:ascii="Times New Roman" w:hAnsi="Times New Roman"/>
          <w:sz w:val="24"/>
          <w:szCs w:val="24"/>
        </w:rPr>
        <w:t>.</w:t>
      </w:r>
      <w:r w:rsidRPr="009064C9">
        <w:rPr>
          <w:rFonts w:ascii="Times New Roman" w:hAnsi="Times New Roman"/>
          <w:sz w:val="24"/>
          <w:szCs w:val="24"/>
        </w:rPr>
        <w:t xml:space="preserve"> </w:t>
      </w:r>
    </w:p>
    <w:p w14:paraId="190A2E9B" w14:textId="77777777" w:rsidR="00F07C8A" w:rsidRPr="009064C9" w:rsidRDefault="00F07C8A" w:rsidP="009064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BF5281A" w14:textId="77777777" w:rsidR="003F44D4" w:rsidRPr="009064C9" w:rsidRDefault="003F44D4" w:rsidP="00906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64C9">
        <w:rPr>
          <w:rFonts w:ascii="Times New Roman" w:hAnsi="Times New Roman"/>
          <w:b/>
          <w:sz w:val="24"/>
          <w:szCs w:val="24"/>
        </w:rPr>
        <w:t>ОРГАНИЗАТОРЫ И ПАРТНЕРЫ:</w:t>
      </w:r>
    </w:p>
    <w:p w14:paraId="77104B1A" w14:textId="77777777" w:rsidR="003F44D4" w:rsidRPr="009064C9" w:rsidRDefault="003F44D4" w:rsidP="009064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64C9">
        <w:rPr>
          <w:rFonts w:ascii="Times New Roman" w:hAnsi="Times New Roman"/>
          <w:sz w:val="24"/>
          <w:szCs w:val="24"/>
        </w:rPr>
        <w:t xml:space="preserve">Ташкентский Государственный транспортный университет, (г. Ташкент); Консорциум устойчивого развития и технологического лидерства (Российская Федерация); АНО «Институт научных коммуникаций» ООО «ИНК-Групп» (г. Волгоград); </w:t>
      </w:r>
      <w:r w:rsidRPr="009064C9">
        <w:rPr>
          <w:rFonts w:ascii="Times New Roman" w:eastAsia="Times New Roman" w:hAnsi="Times New Roman"/>
          <w:bCs/>
          <w:sz w:val="24"/>
          <w:szCs w:val="24"/>
          <w:lang w:eastAsia="ru-RU"/>
        </w:rPr>
        <w:t>РУДН им. Патриса Лумумбы (г. Москва); Ростовский государственный экономический университет (РИНХ).</w:t>
      </w:r>
    </w:p>
    <w:p w14:paraId="699CD493" w14:textId="77777777" w:rsidR="005B356B" w:rsidRDefault="005B356B" w:rsidP="009064C9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14:paraId="36AAB6F8" w14:textId="46F96B79" w:rsidR="00F07C8A" w:rsidRDefault="005B356B" w:rsidP="009064C9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МЕСТО ПРОВЕДЕНИЯ КОНФЕРЕНЦИИ </w:t>
      </w:r>
    </w:p>
    <w:p w14:paraId="0551C33F" w14:textId="6C35017B" w:rsidR="005B356B" w:rsidRPr="005B356B" w:rsidRDefault="005B356B" w:rsidP="009064C9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064C9">
        <w:rPr>
          <w:rFonts w:ascii="Times New Roman" w:hAnsi="Times New Roman"/>
          <w:sz w:val="24"/>
          <w:szCs w:val="24"/>
        </w:rPr>
        <w:t>Ташкентский Государственный транспортный университет,</w:t>
      </w:r>
      <w:r>
        <w:rPr>
          <w:rFonts w:ascii="Times New Roman" w:hAnsi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/>
          <w:sz w:val="24"/>
          <w:szCs w:val="24"/>
        </w:rPr>
        <w:t>Ташкент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Мирабадский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улица </w:t>
      </w:r>
      <w:proofErr w:type="spellStart"/>
      <w:r>
        <w:rPr>
          <w:rFonts w:ascii="Times New Roman" w:hAnsi="Times New Roman"/>
          <w:sz w:val="24"/>
          <w:szCs w:val="24"/>
        </w:rPr>
        <w:t>Темирйулчилар</w:t>
      </w:r>
      <w:proofErr w:type="spellEnd"/>
      <w:r>
        <w:rPr>
          <w:rFonts w:ascii="Times New Roman" w:hAnsi="Times New Roman"/>
          <w:sz w:val="24"/>
          <w:szCs w:val="24"/>
        </w:rPr>
        <w:t xml:space="preserve">, дом 1. Официальный веб сайт </w:t>
      </w:r>
      <w:hyperlink r:id="rId12" w:history="1">
        <w:r w:rsidR="007E64E2" w:rsidRPr="0013489D">
          <w:rPr>
            <w:rStyle w:val="a5"/>
            <w:rFonts w:ascii="Times New Roman" w:hAnsi="Times New Roman"/>
            <w:sz w:val="24"/>
            <w:szCs w:val="24"/>
          </w:rPr>
          <w:t>https://tstu.uz/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8E49E20" w14:textId="77777777" w:rsidR="005B356B" w:rsidRDefault="005B356B" w:rsidP="009064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1E2698" w14:textId="40940084" w:rsidR="003F44D4" w:rsidRPr="009064C9" w:rsidRDefault="003F44D4" w:rsidP="009064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64C9">
        <w:rPr>
          <w:rFonts w:ascii="Times New Roman" w:hAnsi="Times New Roman"/>
          <w:b/>
          <w:sz w:val="24"/>
          <w:szCs w:val="24"/>
        </w:rPr>
        <w:t>КОНТРОЛЬНЫЕ ДАТЫ</w:t>
      </w:r>
    </w:p>
    <w:p w14:paraId="6ABB82B0" w14:textId="17A28705" w:rsidR="003F44D4" w:rsidRPr="009064C9" w:rsidRDefault="003F44D4" w:rsidP="009064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4C9">
        <w:rPr>
          <w:rFonts w:ascii="Times New Roman" w:hAnsi="Times New Roman"/>
          <w:b/>
          <w:sz w:val="24"/>
          <w:szCs w:val="24"/>
        </w:rPr>
        <w:t>до 20 февраля 202</w:t>
      </w:r>
      <w:r w:rsidR="00C13EA7">
        <w:rPr>
          <w:rFonts w:ascii="Times New Roman" w:hAnsi="Times New Roman"/>
          <w:b/>
          <w:sz w:val="24"/>
          <w:szCs w:val="24"/>
        </w:rPr>
        <w:t>4</w:t>
      </w:r>
      <w:r w:rsidRPr="009064C9">
        <w:rPr>
          <w:rFonts w:ascii="Times New Roman" w:hAnsi="Times New Roman"/>
          <w:b/>
          <w:sz w:val="24"/>
          <w:szCs w:val="24"/>
        </w:rPr>
        <w:t xml:space="preserve"> г. – </w:t>
      </w:r>
      <w:r w:rsidRPr="009064C9">
        <w:rPr>
          <w:rFonts w:ascii="Times New Roman" w:hAnsi="Times New Roman"/>
          <w:sz w:val="24"/>
          <w:szCs w:val="24"/>
        </w:rPr>
        <w:t xml:space="preserve">срок представления научной статьи и заявки на электронную почту Конференции. </w:t>
      </w:r>
    </w:p>
    <w:p w14:paraId="3691823D" w14:textId="77777777" w:rsidR="003F44D4" w:rsidRDefault="003F44D4" w:rsidP="0090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C9">
        <w:rPr>
          <w:rFonts w:ascii="Times New Roman" w:hAnsi="Times New Roman"/>
          <w:b/>
          <w:sz w:val="24"/>
          <w:szCs w:val="24"/>
        </w:rPr>
        <w:t xml:space="preserve">28-29 февраля 2024 г. – </w:t>
      </w:r>
      <w:r w:rsidRPr="009064C9">
        <w:rPr>
          <w:rFonts w:ascii="Times New Roman" w:hAnsi="Times New Roman"/>
          <w:sz w:val="24"/>
          <w:szCs w:val="24"/>
        </w:rPr>
        <w:t xml:space="preserve">проведение Конференции на цифровой площадке </w:t>
      </w:r>
      <w:proofErr w:type="spellStart"/>
      <w:r w:rsidRPr="009064C9">
        <w:rPr>
          <w:rFonts w:ascii="Times New Roman" w:hAnsi="Times New Roman"/>
          <w:sz w:val="24"/>
          <w:szCs w:val="24"/>
        </w:rPr>
        <w:t>ТГТрУ</w:t>
      </w:r>
      <w:proofErr w:type="spellEnd"/>
    </w:p>
    <w:p w14:paraId="4E3A0695" w14:textId="77777777" w:rsidR="00F07C8A" w:rsidRPr="009064C9" w:rsidRDefault="00F07C8A" w:rsidP="0090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E3202" w14:textId="77777777" w:rsidR="003F44D4" w:rsidRPr="009064C9" w:rsidRDefault="003F44D4" w:rsidP="0090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C9">
        <w:rPr>
          <w:rFonts w:ascii="Times New Roman" w:hAnsi="Times New Roman"/>
          <w:b/>
          <w:sz w:val="24"/>
          <w:szCs w:val="24"/>
        </w:rPr>
        <w:t>Участие в конференции</w:t>
      </w:r>
      <w:r w:rsidRPr="009064C9">
        <w:rPr>
          <w:rFonts w:ascii="Times New Roman" w:hAnsi="Times New Roman"/>
          <w:sz w:val="24"/>
          <w:szCs w:val="24"/>
        </w:rPr>
        <w:t xml:space="preserve"> возможно в различных формах:</w:t>
      </w:r>
    </w:p>
    <w:p w14:paraId="78113404" w14:textId="77777777" w:rsidR="003F44D4" w:rsidRPr="009064C9" w:rsidRDefault="003F44D4" w:rsidP="0090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C9">
        <w:rPr>
          <w:rFonts w:ascii="Times New Roman" w:hAnsi="Times New Roman"/>
          <w:sz w:val="24"/>
          <w:szCs w:val="24"/>
        </w:rPr>
        <w:t>1) </w:t>
      </w:r>
      <w:r w:rsidRPr="009064C9">
        <w:rPr>
          <w:rFonts w:ascii="Times New Roman" w:hAnsi="Times New Roman"/>
          <w:sz w:val="24"/>
          <w:szCs w:val="24"/>
          <w:lang w:val="en-US"/>
        </w:rPr>
        <w:t>online</w:t>
      </w:r>
      <w:r w:rsidRPr="009064C9">
        <w:rPr>
          <w:rFonts w:ascii="Times New Roman" w:hAnsi="Times New Roman"/>
          <w:sz w:val="24"/>
          <w:szCs w:val="24"/>
        </w:rPr>
        <w:t>-участие с докладом на конференции с последующей публикацией материалов конференции в журнале в форме научной статьи;</w:t>
      </w:r>
    </w:p>
    <w:p w14:paraId="47056D9F" w14:textId="77777777" w:rsidR="003F44D4" w:rsidRPr="009064C9" w:rsidRDefault="003F44D4" w:rsidP="0090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C9">
        <w:rPr>
          <w:rFonts w:ascii="Times New Roman" w:hAnsi="Times New Roman"/>
          <w:sz w:val="24"/>
          <w:szCs w:val="24"/>
        </w:rPr>
        <w:t>2) представление стендового доклада, в котором обобщены ключевые результаты исследования в виде бумажного плаката (постера) с последующей публикацией материалов конференции в журнале в форме научной статьи;</w:t>
      </w:r>
    </w:p>
    <w:p w14:paraId="364B4374" w14:textId="77777777" w:rsidR="003F44D4" w:rsidRPr="009064C9" w:rsidRDefault="003F44D4" w:rsidP="0090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C9">
        <w:rPr>
          <w:rFonts w:ascii="Times New Roman" w:hAnsi="Times New Roman"/>
          <w:sz w:val="24"/>
          <w:szCs w:val="24"/>
        </w:rPr>
        <w:t>3) заочное участие с последующей публикацией материалов конференции в журнале в форме научной статьи;</w:t>
      </w:r>
    </w:p>
    <w:p w14:paraId="0067990E" w14:textId="77777777" w:rsidR="003F44D4" w:rsidRDefault="003F44D4" w:rsidP="0090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C9">
        <w:rPr>
          <w:rFonts w:ascii="Times New Roman" w:hAnsi="Times New Roman"/>
          <w:sz w:val="24"/>
          <w:szCs w:val="24"/>
        </w:rPr>
        <w:t>4) участие в качестве слушателя с возможностью участия в обсуждении докладов, представленных на конференции (без доклада, без публикации материалов конференции в журнале в форме научной статьи).</w:t>
      </w:r>
    </w:p>
    <w:p w14:paraId="231B6EB4" w14:textId="77777777" w:rsidR="00F07C8A" w:rsidRPr="009064C9" w:rsidRDefault="00F07C8A" w:rsidP="0090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4E62" w14:textId="77777777" w:rsidR="003F44D4" w:rsidRPr="009064C9" w:rsidRDefault="003F44D4" w:rsidP="009064C9">
      <w:pPr>
        <w:pStyle w:val="21"/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4C9">
        <w:rPr>
          <w:rFonts w:ascii="Times New Roman" w:hAnsi="Times New Roman"/>
          <w:b/>
          <w:bCs/>
          <w:sz w:val="24"/>
          <w:szCs w:val="24"/>
        </w:rPr>
        <w:t>Условия участия в конференции:</w:t>
      </w:r>
    </w:p>
    <w:p w14:paraId="1336C419" w14:textId="77777777" w:rsidR="003F44D4" w:rsidRPr="009064C9" w:rsidRDefault="003F44D4" w:rsidP="009064C9">
      <w:pPr>
        <w:pStyle w:val="2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064C9">
        <w:rPr>
          <w:rFonts w:ascii="Times New Roman" w:hAnsi="Times New Roman"/>
          <w:b/>
          <w:bCs/>
          <w:sz w:val="24"/>
          <w:szCs w:val="24"/>
          <w:u w:val="single"/>
        </w:rPr>
        <w:t xml:space="preserve">Для участия необходимо: </w:t>
      </w:r>
    </w:p>
    <w:p w14:paraId="370DA150" w14:textId="2397519A" w:rsidR="003F44D4" w:rsidRPr="009064C9" w:rsidRDefault="003F44D4" w:rsidP="009064C9">
      <w:pPr>
        <w:pStyle w:val="21"/>
        <w:numPr>
          <w:ilvl w:val="0"/>
          <w:numId w:val="2"/>
        </w:numPr>
        <w:tabs>
          <w:tab w:val="left" w:pos="36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064C9">
        <w:rPr>
          <w:rFonts w:ascii="Times New Roman" w:hAnsi="Times New Roman"/>
          <w:bCs/>
          <w:sz w:val="24"/>
          <w:szCs w:val="24"/>
        </w:rPr>
        <w:t>Заполнить заявку</w:t>
      </w:r>
      <w:r w:rsidR="00C90449">
        <w:rPr>
          <w:rFonts w:ascii="Times New Roman" w:hAnsi="Times New Roman"/>
          <w:bCs/>
          <w:sz w:val="24"/>
          <w:szCs w:val="24"/>
        </w:rPr>
        <w:t xml:space="preserve"> и зарегистрироваться </w:t>
      </w:r>
      <w:r w:rsidRPr="009064C9">
        <w:rPr>
          <w:rFonts w:ascii="Times New Roman" w:hAnsi="Times New Roman"/>
          <w:bCs/>
          <w:sz w:val="24"/>
          <w:szCs w:val="24"/>
        </w:rPr>
        <w:t xml:space="preserve">на участие в конференции </w:t>
      </w:r>
      <w:r w:rsidR="00863BC5">
        <w:rPr>
          <w:rFonts w:ascii="Times New Roman" w:hAnsi="Times New Roman"/>
          <w:bCs/>
          <w:sz w:val="24"/>
          <w:szCs w:val="24"/>
        </w:rPr>
        <w:t xml:space="preserve">по ссылке </w:t>
      </w:r>
      <w:hyperlink r:id="rId13" w:history="1">
        <w:r w:rsidR="00C90449" w:rsidRPr="0013489D">
          <w:rPr>
            <w:rStyle w:val="a5"/>
            <w:rFonts w:ascii="Times New Roman" w:hAnsi="Times New Roman"/>
            <w:bCs/>
            <w:sz w:val="24"/>
            <w:szCs w:val="24"/>
          </w:rPr>
          <w:t>https://forms.gle/iu8nnh82A6xxijjt8</w:t>
        </w:r>
      </w:hyperlink>
      <w:r w:rsidR="00C90449">
        <w:rPr>
          <w:rFonts w:ascii="Times New Roman" w:hAnsi="Times New Roman"/>
          <w:bCs/>
          <w:sz w:val="24"/>
          <w:szCs w:val="24"/>
        </w:rPr>
        <w:t xml:space="preserve">  </w:t>
      </w:r>
      <w:r w:rsidRPr="009064C9">
        <w:rPr>
          <w:rFonts w:ascii="Times New Roman" w:hAnsi="Times New Roman"/>
          <w:bCs/>
          <w:sz w:val="24"/>
          <w:szCs w:val="24"/>
        </w:rPr>
        <w:t xml:space="preserve">и отправить на почту: </w:t>
      </w:r>
      <w:bookmarkStart w:id="1" w:name="_Hlk152770308"/>
      <w:bookmarkStart w:id="2" w:name="_Hlk152767839"/>
      <w:r>
        <w:fldChar w:fldCharType="begin"/>
      </w:r>
      <w:r>
        <w:instrText>HYPERLINK "mailto:conference_aab@mail.ru"</w:instrText>
      </w:r>
      <w:r>
        <w:fldChar w:fldCharType="separate"/>
      </w:r>
      <w:r w:rsidR="00F07C8A" w:rsidRPr="00C13EA7">
        <w:rPr>
          <w:rStyle w:val="a5"/>
          <w:rFonts w:ascii="Times New Roman" w:hAnsi="Times New Roman"/>
          <w:b/>
          <w:bCs/>
          <w:sz w:val="24"/>
          <w:szCs w:val="24"/>
          <w:u w:val="none"/>
        </w:rPr>
        <w:t>conference_</w:t>
      </w:r>
      <w:r w:rsidR="00F07C8A" w:rsidRPr="00C13EA7">
        <w:rPr>
          <w:rStyle w:val="a5"/>
          <w:rFonts w:ascii="Times New Roman" w:hAnsi="Times New Roman"/>
          <w:b/>
          <w:bCs/>
          <w:sz w:val="24"/>
          <w:szCs w:val="24"/>
          <w:u w:val="none"/>
          <w:lang w:val="en-US"/>
        </w:rPr>
        <w:t>aa</w:t>
      </w:r>
      <w:r w:rsidR="00F07C8A" w:rsidRPr="00C13EA7">
        <w:rPr>
          <w:rStyle w:val="a5"/>
          <w:rFonts w:ascii="Times New Roman" w:hAnsi="Times New Roman"/>
          <w:b/>
          <w:bCs/>
          <w:sz w:val="24"/>
          <w:szCs w:val="24"/>
          <w:u w:val="none"/>
        </w:rPr>
        <w:t>b@mail.ru</w:t>
      </w:r>
      <w:r>
        <w:rPr>
          <w:rStyle w:val="a5"/>
          <w:rFonts w:ascii="Times New Roman" w:hAnsi="Times New Roman"/>
          <w:b/>
          <w:bCs/>
          <w:sz w:val="24"/>
          <w:szCs w:val="24"/>
        </w:rPr>
        <w:fldChar w:fldCharType="end"/>
      </w:r>
      <w:r w:rsidR="00F07C8A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1"/>
      <w:r w:rsidRPr="009064C9">
        <w:rPr>
          <w:rFonts w:ascii="Times New Roman" w:hAnsi="Times New Roman"/>
          <w:bCs/>
          <w:sz w:val="24"/>
          <w:szCs w:val="24"/>
        </w:rPr>
        <w:t xml:space="preserve"> до </w:t>
      </w:r>
      <w:r w:rsidRPr="009064C9">
        <w:rPr>
          <w:rFonts w:ascii="Times New Roman" w:hAnsi="Times New Roman"/>
          <w:b/>
          <w:bCs/>
          <w:sz w:val="24"/>
          <w:szCs w:val="24"/>
        </w:rPr>
        <w:t>10.0</w:t>
      </w:r>
      <w:r w:rsidR="00C13EA7">
        <w:rPr>
          <w:rFonts w:ascii="Times New Roman" w:hAnsi="Times New Roman"/>
          <w:b/>
          <w:bCs/>
          <w:sz w:val="24"/>
          <w:szCs w:val="24"/>
        </w:rPr>
        <w:t>2</w:t>
      </w:r>
      <w:r w:rsidRPr="009064C9">
        <w:rPr>
          <w:rFonts w:ascii="Times New Roman" w:hAnsi="Times New Roman"/>
          <w:b/>
          <w:bCs/>
          <w:sz w:val="24"/>
          <w:szCs w:val="24"/>
        </w:rPr>
        <w:t>.202</w:t>
      </w:r>
      <w:r w:rsidR="00C13EA7">
        <w:rPr>
          <w:rFonts w:ascii="Times New Roman" w:hAnsi="Times New Roman"/>
          <w:b/>
          <w:bCs/>
          <w:sz w:val="24"/>
          <w:szCs w:val="24"/>
        </w:rPr>
        <w:t>4</w:t>
      </w:r>
      <w:r w:rsidRPr="009064C9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9064C9">
        <w:rPr>
          <w:rFonts w:ascii="Times New Roman" w:hAnsi="Times New Roman"/>
          <w:bCs/>
          <w:sz w:val="24"/>
          <w:szCs w:val="24"/>
        </w:rPr>
        <w:t>.</w:t>
      </w:r>
    </w:p>
    <w:bookmarkEnd w:id="2"/>
    <w:p w14:paraId="20F256AD" w14:textId="242821C9" w:rsidR="003F44D4" w:rsidRPr="005D739F" w:rsidRDefault="003F44D4" w:rsidP="0020120B">
      <w:pPr>
        <w:pStyle w:val="21"/>
        <w:numPr>
          <w:ilvl w:val="0"/>
          <w:numId w:val="2"/>
        </w:numPr>
        <w:tabs>
          <w:tab w:val="left" w:pos="36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D739F">
        <w:rPr>
          <w:rFonts w:ascii="Times New Roman" w:hAnsi="Times New Roman"/>
          <w:bCs/>
          <w:sz w:val="24"/>
          <w:szCs w:val="24"/>
        </w:rPr>
        <w:t xml:space="preserve">Оформить статью в соответствии с требованиями международных издательств Springer и </w:t>
      </w:r>
      <w:proofErr w:type="spellStart"/>
      <w:r w:rsidRPr="005D739F">
        <w:rPr>
          <w:rFonts w:ascii="Times New Roman" w:hAnsi="Times New Roman"/>
          <w:bCs/>
          <w:sz w:val="24"/>
          <w:szCs w:val="24"/>
        </w:rPr>
        <w:t>Palgrave</w:t>
      </w:r>
      <w:proofErr w:type="spellEnd"/>
      <w:r w:rsidRPr="005D73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D739F">
        <w:rPr>
          <w:rFonts w:ascii="Times New Roman" w:hAnsi="Times New Roman"/>
          <w:bCs/>
          <w:sz w:val="24"/>
          <w:szCs w:val="24"/>
        </w:rPr>
        <w:t>Macmillan</w:t>
      </w:r>
      <w:proofErr w:type="spellEnd"/>
      <w:r w:rsidRPr="005D739F">
        <w:rPr>
          <w:rFonts w:ascii="Times New Roman" w:hAnsi="Times New Roman"/>
          <w:bCs/>
          <w:sz w:val="24"/>
          <w:szCs w:val="24"/>
        </w:rPr>
        <w:t xml:space="preserve"> (</w:t>
      </w:r>
      <w:r w:rsidR="005D739F" w:rsidRPr="005D739F">
        <w:rPr>
          <w:rFonts w:ascii="Times New Roman" w:hAnsi="Times New Roman"/>
        </w:rPr>
        <w:t xml:space="preserve">Шаблон статьи  </w:t>
      </w:r>
      <w:hyperlink r:id="rId14" w:history="1">
        <w:r w:rsidR="005D739F" w:rsidRPr="005D739F">
          <w:rPr>
            <w:rStyle w:val="a5"/>
            <w:rFonts w:ascii="Times New Roman" w:hAnsi="Times New Roman"/>
          </w:rPr>
          <w:t>https://iscvlg.ru/wp-content/uploads/2023/08/шаблон-Springer.pdf</w:t>
        </w:r>
      </w:hyperlink>
      <w:r w:rsidRPr="005D739F">
        <w:rPr>
          <w:rFonts w:ascii="Times New Roman" w:hAnsi="Times New Roman"/>
          <w:bCs/>
          <w:sz w:val="24"/>
          <w:szCs w:val="24"/>
        </w:rPr>
        <w:t>), образец научной статьи (</w:t>
      </w:r>
      <w:r w:rsidR="005D739F" w:rsidRPr="005D739F">
        <w:rPr>
          <w:rFonts w:ascii="Times New Roman" w:hAnsi="Times New Roman"/>
          <w:bCs/>
          <w:sz w:val="24"/>
          <w:szCs w:val="24"/>
        </w:rPr>
        <w:t xml:space="preserve">Пример оформления статьи </w:t>
      </w:r>
      <w:hyperlink r:id="rId15" w:history="1">
        <w:r w:rsidR="005D739F" w:rsidRPr="005D739F">
          <w:rPr>
            <w:rStyle w:val="a5"/>
            <w:rFonts w:ascii="Times New Roman" w:hAnsi="Times New Roman"/>
            <w:bCs/>
            <w:sz w:val="24"/>
            <w:szCs w:val="24"/>
          </w:rPr>
          <w:t>https://iscvlg.ru/wp-content/uploads/2023/08/Статья-по-шаблону-Springer_Palgrave-Macmillan.pdf</w:t>
        </w:r>
      </w:hyperlink>
      <w:r w:rsidRPr="005D739F">
        <w:rPr>
          <w:rFonts w:ascii="Times New Roman" w:hAnsi="Times New Roman"/>
          <w:bCs/>
          <w:sz w:val="24"/>
          <w:szCs w:val="24"/>
        </w:rPr>
        <w:t xml:space="preserve">). </w:t>
      </w:r>
    </w:p>
    <w:p w14:paraId="0BF3F1CF" w14:textId="77777777" w:rsidR="004312C1" w:rsidRDefault="003F44D4" w:rsidP="009064C9">
      <w:pPr>
        <w:pStyle w:val="21"/>
        <w:numPr>
          <w:ilvl w:val="0"/>
          <w:numId w:val="2"/>
        </w:numPr>
        <w:tabs>
          <w:tab w:val="left" w:pos="36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064C9">
        <w:rPr>
          <w:rFonts w:ascii="Times New Roman" w:hAnsi="Times New Roman"/>
          <w:b/>
          <w:sz w:val="24"/>
          <w:szCs w:val="24"/>
        </w:rPr>
        <w:t>ВАЖНО:</w:t>
      </w:r>
      <w:r w:rsidRPr="009064C9">
        <w:rPr>
          <w:rFonts w:ascii="Times New Roman" w:hAnsi="Times New Roman"/>
          <w:sz w:val="24"/>
          <w:szCs w:val="24"/>
        </w:rPr>
        <w:t xml:space="preserve"> статьи должны быть проверены на плагиат (допускается не менее </w:t>
      </w:r>
      <w:r w:rsidRPr="009064C9">
        <w:rPr>
          <w:rFonts w:ascii="Times New Roman" w:hAnsi="Times New Roman"/>
          <w:b/>
          <w:sz w:val="24"/>
          <w:szCs w:val="24"/>
        </w:rPr>
        <w:t>85%</w:t>
      </w:r>
      <w:r w:rsidRPr="009064C9">
        <w:rPr>
          <w:rFonts w:ascii="Times New Roman" w:hAnsi="Times New Roman"/>
          <w:sz w:val="24"/>
          <w:szCs w:val="24"/>
        </w:rPr>
        <w:t xml:space="preserve"> авторского текста).</w:t>
      </w:r>
    </w:p>
    <w:p w14:paraId="138BDFF2" w14:textId="4FD5787E" w:rsidR="003F44D4" w:rsidRDefault="003F44D4" w:rsidP="009064C9">
      <w:pPr>
        <w:pStyle w:val="21"/>
        <w:tabs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9064C9">
        <w:rPr>
          <w:rFonts w:ascii="Times New Roman" w:hAnsi="Times New Roman"/>
          <w:bCs/>
          <w:sz w:val="24"/>
          <w:szCs w:val="24"/>
        </w:rPr>
        <w:t>Срок</w:t>
      </w:r>
      <w:r w:rsidRPr="009064C9">
        <w:rPr>
          <w:rFonts w:ascii="Times New Roman" w:hAnsi="Times New Roman"/>
          <w:sz w:val="24"/>
          <w:szCs w:val="24"/>
        </w:rPr>
        <w:t xml:space="preserve"> подачи заявки на участие в Конференцию и предоставления статей</w:t>
      </w:r>
      <w:r w:rsidRPr="009064C9">
        <w:rPr>
          <w:rFonts w:ascii="Times New Roman" w:hAnsi="Times New Roman"/>
          <w:b/>
          <w:sz w:val="24"/>
          <w:szCs w:val="24"/>
        </w:rPr>
        <w:t xml:space="preserve"> </w:t>
      </w:r>
      <w:r w:rsidRPr="009064C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до 20 февраля 2024 г.</w:t>
      </w:r>
    </w:p>
    <w:p w14:paraId="72BCD9DC" w14:textId="77777777" w:rsidR="007E64E2" w:rsidRDefault="007E64E2" w:rsidP="009064C9">
      <w:pPr>
        <w:pStyle w:val="21"/>
        <w:tabs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585EF2" w14:textId="43175FA3" w:rsidR="00C90449" w:rsidRDefault="007465EA" w:rsidP="009064C9">
      <w:pPr>
        <w:pStyle w:val="21"/>
        <w:tabs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465EA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Пройти регистрацию на участие в конференции: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02ED37D" w14:textId="69CFD30F" w:rsidR="007465EA" w:rsidRPr="007465EA" w:rsidRDefault="00C90449" w:rsidP="009064C9">
      <w:pPr>
        <w:pStyle w:val="21"/>
        <w:tabs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13489D">
          <w:rPr>
            <w:rStyle w:val="a5"/>
            <w:rFonts w:ascii="Times New Roman" w:hAnsi="Times New Roman"/>
            <w:b/>
            <w:bCs/>
            <w:sz w:val="24"/>
            <w:szCs w:val="24"/>
          </w:rPr>
          <w:t>Регистрация</w:t>
        </w:r>
      </w:hyperlink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 </w:t>
      </w:r>
      <w:hyperlink r:id="rId17" w:history="1">
        <w:r w:rsidRPr="0013489D">
          <w:rPr>
            <w:rStyle w:val="a5"/>
            <w:rFonts w:ascii="Times New Roman" w:hAnsi="Times New Roman"/>
            <w:bCs/>
            <w:sz w:val="24"/>
            <w:szCs w:val="24"/>
          </w:rPr>
          <w:t>https://forms.gle/iu8nnh82A6xxijjt8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81AF165" w14:textId="67067926" w:rsidR="003F44D4" w:rsidRPr="007465EA" w:rsidRDefault="003F44D4" w:rsidP="009064C9">
      <w:pPr>
        <w:spacing w:after="0" w:line="240" w:lineRule="auto"/>
        <w:jc w:val="both"/>
        <w:rPr>
          <w:rFonts w:ascii="Times New Roman" w:hAnsi="Times New Roman"/>
          <w:b/>
          <w:bCs/>
          <w:color w:val="1F282C"/>
          <w:sz w:val="24"/>
          <w:szCs w:val="24"/>
          <w:lang w:eastAsia="ru-RU"/>
        </w:rPr>
      </w:pPr>
      <w:r w:rsidRPr="009064C9">
        <w:rPr>
          <w:rFonts w:ascii="Times New Roman" w:hAnsi="Times New Roman"/>
          <w:b/>
          <w:bCs/>
          <w:color w:val="1F282C"/>
          <w:sz w:val="24"/>
          <w:szCs w:val="24"/>
          <w:lang w:eastAsia="ru-RU"/>
        </w:rPr>
        <w:t>Прием статей производится</w:t>
      </w:r>
      <w:r w:rsidR="007465EA">
        <w:rPr>
          <w:rFonts w:ascii="Times New Roman" w:hAnsi="Times New Roman"/>
          <w:b/>
          <w:bCs/>
          <w:color w:val="1F282C"/>
          <w:sz w:val="24"/>
          <w:szCs w:val="24"/>
          <w:lang w:eastAsia="ru-RU"/>
        </w:rPr>
        <w:t xml:space="preserve"> </w:t>
      </w:r>
      <w:r w:rsidRPr="009064C9">
        <w:rPr>
          <w:rFonts w:ascii="Times New Roman" w:hAnsi="Times New Roman"/>
          <w:b/>
          <w:bCs/>
          <w:sz w:val="24"/>
          <w:szCs w:val="24"/>
        </w:rPr>
        <w:t>по электронной почте</w:t>
      </w:r>
      <w:r w:rsidR="007465E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064C9">
        <w:rPr>
          <w:rFonts w:ascii="Times New Roman" w:hAnsi="Times New Roman"/>
          <w:bCs/>
          <w:sz w:val="24"/>
          <w:szCs w:val="24"/>
        </w:rPr>
        <w:t xml:space="preserve"> </w:t>
      </w:r>
      <w:hyperlink r:id="rId18" w:history="1">
        <w:r w:rsidR="00F07C8A" w:rsidRPr="00C13EA7">
          <w:rPr>
            <w:rStyle w:val="a5"/>
            <w:rFonts w:ascii="Times New Roman" w:hAnsi="Times New Roman"/>
            <w:b/>
            <w:bCs/>
            <w:sz w:val="24"/>
            <w:szCs w:val="24"/>
            <w:u w:val="none"/>
          </w:rPr>
          <w:t>conference_aab@mail.ru</w:t>
        </w:r>
      </w:hyperlink>
      <w:r w:rsidR="00F07C8A" w:rsidRPr="00C13E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ABAF85" w14:textId="77777777" w:rsidR="003F44D4" w:rsidRPr="009064C9" w:rsidRDefault="003F44D4" w:rsidP="009064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64C9">
        <w:rPr>
          <w:rFonts w:ascii="Times New Roman" w:hAnsi="Times New Roman"/>
          <w:bCs/>
          <w:sz w:val="24"/>
          <w:szCs w:val="24"/>
        </w:rPr>
        <w:t xml:space="preserve">По всем вопросам можно обратиться к руководителю проекта Султановой Софье </w:t>
      </w:r>
      <w:proofErr w:type="spellStart"/>
      <w:r w:rsidRPr="009064C9">
        <w:rPr>
          <w:rFonts w:ascii="Times New Roman" w:hAnsi="Times New Roman"/>
          <w:bCs/>
          <w:sz w:val="24"/>
          <w:szCs w:val="24"/>
        </w:rPr>
        <w:t>Махмудовне</w:t>
      </w:r>
      <w:proofErr w:type="spellEnd"/>
      <w:r w:rsidRPr="009064C9">
        <w:rPr>
          <w:rFonts w:ascii="Times New Roman" w:hAnsi="Times New Roman"/>
          <w:bCs/>
          <w:sz w:val="24"/>
          <w:szCs w:val="24"/>
        </w:rPr>
        <w:t xml:space="preserve"> по телефону +998 998308476.</w:t>
      </w:r>
    </w:p>
    <w:p w14:paraId="217956A9" w14:textId="4CC2D877" w:rsidR="003F44D4" w:rsidRPr="005D739F" w:rsidRDefault="003F44D4" w:rsidP="009064C9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D739F">
        <w:rPr>
          <w:rFonts w:ascii="Times New Roman" w:hAnsi="Times New Roman"/>
          <w:b/>
          <w:bCs/>
          <w:i/>
          <w:sz w:val="24"/>
          <w:szCs w:val="24"/>
        </w:rPr>
        <w:t>Оплата публикации статьи осуществляется только после сообщения о принятии рукописи к публикации и производится по присланным редакцией счету-договору и квитанции</w:t>
      </w:r>
      <w:r w:rsidR="005E12CC" w:rsidRPr="005D739F">
        <w:rPr>
          <w:rFonts w:ascii="Times New Roman" w:hAnsi="Times New Roman"/>
          <w:b/>
          <w:bCs/>
          <w:i/>
          <w:sz w:val="24"/>
          <w:szCs w:val="24"/>
        </w:rPr>
        <w:t xml:space="preserve"> с электронной почты </w:t>
      </w:r>
      <w:hyperlink r:id="rId19" w:history="1">
        <w:r w:rsidR="005E12CC" w:rsidRPr="005D739F">
          <w:rPr>
            <w:rStyle w:val="a5"/>
            <w:rFonts w:ascii="Times New Roman" w:hAnsi="Times New Roman"/>
            <w:b/>
            <w:bCs/>
            <w:i/>
            <w:sz w:val="24"/>
            <w:szCs w:val="24"/>
            <w:lang w:val="en-US"/>
          </w:rPr>
          <w:t>iscvolga</w:t>
        </w:r>
        <w:r w:rsidR="005E12CC" w:rsidRPr="005D739F">
          <w:rPr>
            <w:rStyle w:val="a5"/>
            <w:rFonts w:ascii="Times New Roman" w:hAnsi="Times New Roman"/>
            <w:b/>
            <w:bCs/>
            <w:i/>
            <w:sz w:val="24"/>
            <w:szCs w:val="24"/>
          </w:rPr>
          <w:t>@</w:t>
        </w:r>
        <w:r w:rsidR="005E12CC" w:rsidRPr="005D739F">
          <w:rPr>
            <w:rStyle w:val="a5"/>
            <w:rFonts w:ascii="Times New Roman" w:hAnsi="Times New Roman"/>
            <w:b/>
            <w:bCs/>
            <w:i/>
            <w:sz w:val="24"/>
            <w:szCs w:val="24"/>
            <w:lang w:val="en-US"/>
          </w:rPr>
          <w:t>yandex</w:t>
        </w:r>
        <w:r w:rsidR="005E12CC" w:rsidRPr="005D739F">
          <w:rPr>
            <w:rStyle w:val="a5"/>
            <w:rFonts w:ascii="Times New Roman" w:hAnsi="Times New Roman"/>
            <w:b/>
            <w:bCs/>
            <w:i/>
            <w:sz w:val="24"/>
            <w:szCs w:val="24"/>
          </w:rPr>
          <w:t>.</w:t>
        </w:r>
        <w:proofErr w:type="spellStart"/>
        <w:r w:rsidR="005E12CC" w:rsidRPr="005D739F">
          <w:rPr>
            <w:rStyle w:val="a5"/>
            <w:rFonts w:ascii="Times New Roman" w:hAnsi="Times New Roman"/>
            <w:b/>
            <w:bCs/>
            <w:i/>
            <w:sz w:val="24"/>
            <w:szCs w:val="24"/>
            <w:lang w:val="en-US"/>
          </w:rPr>
          <w:t>ru</w:t>
        </w:r>
        <w:proofErr w:type="spellEnd"/>
      </w:hyperlink>
      <w:r w:rsidR="005E12CC" w:rsidRPr="005D739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4EA1F601" w14:textId="278D5429" w:rsidR="005D739F" w:rsidRPr="005D739F" w:rsidRDefault="003F44D4" w:rsidP="005D739F">
      <w:pPr>
        <w:pStyle w:val="af5"/>
        <w:rPr>
          <w:b/>
          <w:bCs/>
        </w:rPr>
      </w:pPr>
      <w:r w:rsidRPr="005D739F">
        <w:rPr>
          <w:rFonts w:ascii="Times New Roman" w:hAnsi="Times New Roman"/>
          <w:b/>
          <w:bCs/>
          <w:i/>
          <w:sz w:val="24"/>
          <w:szCs w:val="24"/>
        </w:rPr>
        <w:t>Стоимость публикации</w:t>
      </w:r>
      <w:r w:rsidR="005D739F" w:rsidRPr="005D739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="005D739F" w:rsidRPr="005D739F">
        <w:rPr>
          <w:rFonts w:ascii="Times New Roman" w:hAnsi="Times New Roman"/>
          <w:b/>
          <w:bCs/>
          <w:i/>
          <w:sz w:val="24"/>
          <w:szCs w:val="24"/>
        </w:rPr>
        <w:t>для статей</w:t>
      </w:r>
      <w:proofErr w:type="gramEnd"/>
      <w:r w:rsidR="005D739F" w:rsidRPr="005D739F">
        <w:rPr>
          <w:rFonts w:ascii="Times New Roman" w:hAnsi="Times New Roman"/>
          <w:b/>
          <w:bCs/>
          <w:i/>
          <w:sz w:val="24"/>
          <w:szCs w:val="24"/>
        </w:rPr>
        <w:t xml:space="preserve"> поданных на английском языке. </w:t>
      </w:r>
      <w:r w:rsidRPr="005D739F">
        <w:rPr>
          <w:rFonts w:ascii="Times New Roman" w:hAnsi="Times New Roman"/>
          <w:b/>
          <w:bCs/>
          <w:i/>
          <w:sz w:val="24"/>
          <w:szCs w:val="24"/>
        </w:rPr>
        <w:t xml:space="preserve">– 25 000 руб. </w:t>
      </w:r>
      <w:r w:rsidR="005D739F" w:rsidRPr="005D739F">
        <w:rPr>
          <w:b/>
          <w:bCs/>
        </w:rPr>
        <w:t xml:space="preserve"> </w:t>
      </w:r>
    </w:p>
    <w:p w14:paraId="46FE66F6" w14:textId="36676685" w:rsidR="003F44D4" w:rsidRPr="009064C9" w:rsidRDefault="003F44D4" w:rsidP="009064C9">
      <w:pPr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27C4ABAE" w14:textId="712FF458" w:rsidR="003F44D4" w:rsidRPr="009064C9" w:rsidRDefault="003F44D4" w:rsidP="005D739F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64C9">
        <w:rPr>
          <w:rFonts w:ascii="Times New Roman" w:hAnsi="Times New Roman"/>
          <w:b/>
          <w:sz w:val="24"/>
          <w:szCs w:val="24"/>
        </w:rPr>
        <w:br w:type="page"/>
      </w:r>
    </w:p>
    <w:p w14:paraId="3EFAF054" w14:textId="77777777" w:rsidR="00580CE8" w:rsidRPr="009064C9" w:rsidRDefault="00580CE8" w:rsidP="009064C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580CE8" w:rsidRPr="009064C9">
      <w:pgSz w:w="11906" w:h="16838"/>
      <w:pgMar w:top="993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6CFB" w14:textId="77777777" w:rsidR="00D76344" w:rsidRDefault="00D76344">
      <w:pPr>
        <w:spacing w:after="0" w:line="240" w:lineRule="auto"/>
      </w:pPr>
      <w:r>
        <w:separator/>
      </w:r>
    </w:p>
  </w:endnote>
  <w:endnote w:type="continuationSeparator" w:id="0">
    <w:p w14:paraId="2110C1E7" w14:textId="77777777" w:rsidR="00D76344" w:rsidRDefault="00D7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1435" w14:textId="77777777" w:rsidR="00D76344" w:rsidRDefault="00D76344">
      <w:pPr>
        <w:spacing w:after="0" w:line="240" w:lineRule="auto"/>
      </w:pPr>
      <w:r>
        <w:separator/>
      </w:r>
    </w:p>
  </w:footnote>
  <w:footnote w:type="continuationSeparator" w:id="0">
    <w:p w14:paraId="5795B72F" w14:textId="77777777" w:rsidR="00D76344" w:rsidRDefault="00D76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3F0B44"/>
    <w:multiLevelType w:val="singleLevel"/>
    <w:tmpl w:val="FE3F0B4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F606918"/>
    <w:multiLevelType w:val="multilevel"/>
    <w:tmpl w:val="F4E2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C7D0E"/>
    <w:multiLevelType w:val="multilevel"/>
    <w:tmpl w:val="1FC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45B11"/>
    <w:multiLevelType w:val="multilevel"/>
    <w:tmpl w:val="B69C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255D1"/>
    <w:multiLevelType w:val="multilevel"/>
    <w:tmpl w:val="A2A29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3A98"/>
    <w:multiLevelType w:val="multilevel"/>
    <w:tmpl w:val="43AE3A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C6B01"/>
    <w:multiLevelType w:val="multilevel"/>
    <w:tmpl w:val="46AC6B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C637E"/>
    <w:multiLevelType w:val="hybridMultilevel"/>
    <w:tmpl w:val="EF08B392"/>
    <w:lvl w:ilvl="0" w:tplc="7C9AC0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E7192"/>
    <w:multiLevelType w:val="multilevel"/>
    <w:tmpl w:val="9F480A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02820CD"/>
    <w:multiLevelType w:val="multilevel"/>
    <w:tmpl w:val="984C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623D7B70"/>
    <w:multiLevelType w:val="multilevel"/>
    <w:tmpl w:val="984C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888034845">
    <w:abstractNumId w:val="0"/>
  </w:num>
  <w:num w:numId="2" w16cid:durableId="953829613">
    <w:abstractNumId w:val="4"/>
  </w:num>
  <w:num w:numId="3" w16cid:durableId="235366250">
    <w:abstractNumId w:val="6"/>
  </w:num>
  <w:num w:numId="4" w16cid:durableId="458837449">
    <w:abstractNumId w:val="2"/>
  </w:num>
  <w:num w:numId="5" w16cid:durableId="1762485666">
    <w:abstractNumId w:val="5"/>
  </w:num>
  <w:num w:numId="6" w16cid:durableId="142965487">
    <w:abstractNumId w:val="10"/>
  </w:num>
  <w:num w:numId="7" w16cid:durableId="1874926913">
    <w:abstractNumId w:val="3"/>
  </w:num>
  <w:num w:numId="8" w16cid:durableId="1777602303">
    <w:abstractNumId w:val="1"/>
  </w:num>
  <w:num w:numId="9" w16cid:durableId="384378046">
    <w:abstractNumId w:val="8"/>
  </w:num>
  <w:num w:numId="10" w16cid:durableId="1932201173">
    <w:abstractNumId w:val="7"/>
  </w:num>
  <w:num w:numId="11" w16cid:durableId="1535070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3"/>
    <w:rsid w:val="00006625"/>
    <w:rsid w:val="00015838"/>
    <w:rsid w:val="000351EE"/>
    <w:rsid w:val="00045CFA"/>
    <w:rsid w:val="00060379"/>
    <w:rsid w:val="00064FF0"/>
    <w:rsid w:val="00071C1B"/>
    <w:rsid w:val="000762F6"/>
    <w:rsid w:val="00081E2F"/>
    <w:rsid w:val="00082F09"/>
    <w:rsid w:val="000A35CF"/>
    <w:rsid w:val="000C4BAE"/>
    <w:rsid w:val="000D3945"/>
    <w:rsid w:val="000E30BA"/>
    <w:rsid w:val="000E397C"/>
    <w:rsid w:val="001347B1"/>
    <w:rsid w:val="00135E6F"/>
    <w:rsid w:val="0014426A"/>
    <w:rsid w:val="00144B0D"/>
    <w:rsid w:val="00153925"/>
    <w:rsid w:val="001648B7"/>
    <w:rsid w:val="0017219A"/>
    <w:rsid w:val="00173663"/>
    <w:rsid w:val="00182E64"/>
    <w:rsid w:val="00193C20"/>
    <w:rsid w:val="001A3375"/>
    <w:rsid w:val="001B2A92"/>
    <w:rsid w:val="001C09A8"/>
    <w:rsid w:val="001C437A"/>
    <w:rsid w:val="001F1FD8"/>
    <w:rsid w:val="001F713C"/>
    <w:rsid w:val="00204411"/>
    <w:rsid w:val="00214049"/>
    <w:rsid w:val="00220A05"/>
    <w:rsid w:val="00221B7F"/>
    <w:rsid w:val="0023480F"/>
    <w:rsid w:val="00241B46"/>
    <w:rsid w:val="00246427"/>
    <w:rsid w:val="002469DD"/>
    <w:rsid w:val="002568D6"/>
    <w:rsid w:val="002833FD"/>
    <w:rsid w:val="00286BC5"/>
    <w:rsid w:val="002A6048"/>
    <w:rsid w:val="002A7476"/>
    <w:rsid w:val="002B0FD8"/>
    <w:rsid w:val="002B5142"/>
    <w:rsid w:val="002D44A2"/>
    <w:rsid w:val="002D7211"/>
    <w:rsid w:val="00306BB2"/>
    <w:rsid w:val="003116B9"/>
    <w:rsid w:val="003122E0"/>
    <w:rsid w:val="003130BF"/>
    <w:rsid w:val="00317BAD"/>
    <w:rsid w:val="0033242B"/>
    <w:rsid w:val="00370173"/>
    <w:rsid w:val="00371991"/>
    <w:rsid w:val="00375556"/>
    <w:rsid w:val="00382E3B"/>
    <w:rsid w:val="003B13C3"/>
    <w:rsid w:val="003B59E4"/>
    <w:rsid w:val="003E6D38"/>
    <w:rsid w:val="003E7A31"/>
    <w:rsid w:val="003F44D4"/>
    <w:rsid w:val="00412BAE"/>
    <w:rsid w:val="00422023"/>
    <w:rsid w:val="004312C1"/>
    <w:rsid w:val="0044035B"/>
    <w:rsid w:val="0047420B"/>
    <w:rsid w:val="00486237"/>
    <w:rsid w:val="004A6B4B"/>
    <w:rsid w:val="004A77F3"/>
    <w:rsid w:val="004B7356"/>
    <w:rsid w:val="004D2680"/>
    <w:rsid w:val="004D5577"/>
    <w:rsid w:val="00504DF2"/>
    <w:rsid w:val="0051621F"/>
    <w:rsid w:val="00530E6E"/>
    <w:rsid w:val="00534124"/>
    <w:rsid w:val="005352D2"/>
    <w:rsid w:val="0055071A"/>
    <w:rsid w:val="0056125C"/>
    <w:rsid w:val="00566DE0"/>
    <w:rsid w:val="00573CE4"/>
    <w:rsid w:val="00580CE8"/>
    <w:rsid w:val="00595078"/>
    <w:rsid w:val="005B356B"/>
    <w:rsid w:val="005D0CE6"/>
    <w:rsid w:val="005D4E96"/>
    <w:rsid w:val="005D739F"/>
    <w:rsid w:val="005E12CC"/>
    <w:rsid w:val="005F4B93"/>
    <w:rsid w:val="00606B2D"/>
    <w:rsid w:val="006108BE"/>
    <w:rsid w:val="00613194"/>
    <w:rsid w:val="0062179B"/>
    <w:rsid w:val="00634AF4"/>
    <w:rsid w:val="00635188"/>
    <w:rsid w:val="00651D89"/>
    <w:rsid w:val="006535F8"/>
    <w:rsid w:val="00657DDE"/>
    <w:rsid w:val="006633B0"/>
    <w:rsid w:val="00664DA9"/>
    <w:rsid w:val="0066661B"/>
    <w:rsid w:val="0067348E"/>
    <w:rsid w:val="006817CF"/>
    <w:rsid w:val="00691835"/>
    <w:rsid w:val="006D11C5"/>
    <w:rsid w:val="006D222B"/>
    <w:rsid w:val="006E6D4B"/>
    <w:rsid w:val="006F056E"/>
    <w:rsid w:val="006F314B"/>
    <w:rsid w:val="006F3A26"/>
    <w:rsid w:val="007035E4"/>
    <w:rsid w:val="007040C9"/>
    <w:rsid w:val="0071358F"/>
    <w:rsid w:val="00726B85"/>
    <w:rsid w:val="007465EA"/>
    <w:rsid w:val="00761A4D"/>
    <w:rsid w:val="00776C6D"/>
    <w:rsid w:val="00783E2A"/>
    <w:rsid w:val="00791342"/>
    <w:rsid w:val="007A0E9F"/>
    <w:rsid w:val="007A3DBA"/>
    <w:rsid w:val="007D7525"/>
    <w:rsid w:val="007E5E03"/>
    <w:rsid w:val="007E64E2"/>
    <w:rsid w:val="007F50C8"/>
    <w:rsid w:val="008148C9"/>
    <w:rsid w:val="008267AF"/>
    <w:rsid w:val="0083612A"/>
    <w:rsid w:val="00840755"/>
    <w:rsid w:val="00841723"/>
    <w:rsid w:val="00843425"/>
    <w:rsid w:val="00845673"/>
    <w:rsid w:val="00863BC5"/>
    <w:rsid w:val="00893019"/>
    <w:rsid w:val="008A18EB"/>
    <w:rsid w:val="008A2BFB"/>
    <w:rsid w:val="008C55B7"/>
    <w:rsid w:val="008E0A46"/>
    <w:rsid w:val="008F70B9"/>
    <w:rsid w:val="009064C9"/>
    <w:rsid w:val="00913E56"/>
    <w:rsid w:val="00925F13"/>
    <w:rsid w:val="00960A6F"/>
    <w:rsid w:val="00967890"/>
    <w:rsid w:val="00993234"/>
    <w:rsid w:val="009955F6"/>
    <w:rsid w:val="009A09B9"/>
    <w:rsid w:val="009A0CF6"/>
    <w:rsid w:val="009B3870"/>
    <w:rsid w:val="009D758D"/>
    <w:rsid w:val="009E3888"/>
    <w:rsid w:val="009E3F59"/>
    <w:rsid w:val="00A06FA3"/>
    <w:rsid w:val="00A214C9"/>
    <w:rsid w:val="00A41711"/>
    <w:rsid w:val="00A428F3"/>
    <w:rsid w:val="00A63D62"/>
    <w:rsid w:val="00A7030B"/>
    <w:rsid w:val="00A70429"/>
    <w:rsid w:val="00A80993"/>
    <w:rsid w:val="00A941A3"/>
    <w:rsid w:val="00AA7384"/>
    <w:rsid w:val="00AC34AC"/>
    <w:rsid w:val="00AD2DD4"/>
    <w:rsid w:val="00AD7A80"/>
    <w:rsid w:val="00B058C7"/>
    <w:rsid w:val="00B07F5D"/>
    <w:rsid w:val="00B22E22"/>
    <w:rsid w:val="00B368F3"/>
    <w:rsid w:val="00B444FE"/>
    <w:rsid w:val="00B47553"/>
    <w:rsid w:val="00B52BE0"/>
    <w:rsid w:val="00B5547D"/>
    <w:rsid w:val="00B757D1"/>
    <w:rsid w:val="00BA33FC"/>
    <w:rsid w:val="00BA478E"/>
    <w:rsid w:val="00BA542D"/>
    <w:rsid w:val="00BA63C2"/>
    <w:rsid w:val="00BB1C9F"/>
    <w:rsid w:val="00BC143A"/>
    <w:rsid w:val="00BD418B"/>
    <w:rsid w:val="00BF1A4A"/>
    <w:rsid w:val="00BF68BB"/>
    <w:rsid w:val="00C066C1"/>
    <w:rsid w:val="00C11353"/>
    <w:rsid w:val="00C13EA7"/>
    <w:rsid w:val="00C14C3C"/>
    <w:rsid w:val="00C242D0"/>
    <w:rsid w:val="00C37CAF"/>
    <w:rsid w:val="00C5699A"/>
    <w:rsid w:val="00C60D2F"/>
    <w:rsid w:val="00C8387A"/>
    <w:rsid w:val="00C874B8"/>
    <w:rsid w:val="00C90449"/>
    <w:rsid w:val="00CA15ED"/>
    <w:rsid w:val="00CA31FE"/>
    <w:rsid w:val="00CB0DF0"/>
    <w:rsid w:val="00CD323C"/>
    <w:rsid w:val="00D0651F"/>
    <w:rsid w:val="00D16AAE"/>
    <w:rsid w:val="00D34765"/>
    <w:rsid w:val="00D4622B"/>
    <w:rsid w:val="00D551B6"/>
    <w:rsid w:val="00D63E42"/>
    <w:rsid w:val="00D76344"/>
    <w:rsid w:val="00D9225D"/>
    <w:rsid w:val="00D93BDB"/>
    <w:rsid w:val="00DA3944"/>
    <w:rsid w:val="00DC7CBB"/>
    <w:rsid w:val="00E0751A"/>
    <w:rsid w:val="00E114AE"/>
    <w:rsid w:val="00E11BC5"/>
    <w:rsid w:val="00E20778"/>
    <w:rsid w:val="00E2119F"/>
    <w:rsid w:val="00E27FAA"/>
    <w:rsid w:val="00E410C1"/>
    <w:rsid w:val="00E518B6"/>
    <w:rsid w:val="00E848FD"/>
    <w:rsid w:val="00E85390"/>
    <w:rsid w:val="00E87742"/>
    <w:rsid w:val="00E9013F"/>
    <w:rsid w:val="00E94AEE"/>
    <w:rsid w:val="00EB26F7"/>
    <w:rsid w:val="00EB28C1"/>
    <w:rsid w:val="00EB381C"/>
    <w:rsid w:val="00EE03B7"/>
    <w:rsid w:val="00EF2990"/>
    <w:rsid w:val="00EF3330"/>
    <w:rsid w:val="00F07C8A"/>
    <w:rsid w:val="00F262E9"/>
    <w:rsid w:val="00F27386"/>
    <w:rsid w:val="00F3324B"/>
    <w:rsid w:val="00F45C5C"/>
    <w:rsid w:val="00F76D39"/>
    <w:rsid w:val="00F80437"/>
    <w:rsid w:val="00F93D2C"/>
    <w:rsid w:val="00F946FC"/>
    <w:rsid w:val="00FB092F"/>
    <w:rsid w:val="00FB0B19"/>
    <w:rsid w:val="00FC6418"/>
    <w:rsid w:val="00FE6FD4"/>
    <w:rsid w:val="00FF0717"/>
    <w:rsid w:val="00FF1979"/>
    <w:rsid w:val="00FF1B47"/>
    <w:rsid w:val="137570FA"/>
    <w:rsid w:val="626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A44E"/>
  <w15:docId w15:val="{BBD186D3-C6A8-4C27-ABC4-86C59DE9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1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/>
      <w:b/>
      <w:bCs/>
      <w:color w:val="000000"/>
      <w:sz w:val="28"/>
      <w:szCs w:val="28"/>
      <w:lang w:eastAsia="en-US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footnote reference"/>
    <w:uiPriority w:val="99"/>
    <w:unhideWhenUsed/>
    <w:rPr>
      <w:vertAlign w:val="superscript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footnote text"/>
    <w:basedOn w:val="a"/>
    <w:link w:val="a8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Pr>
      <w:lang w:eastAsia="en-US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sz w:val="22"/>
      <w:szCs w:val="22"/>
      <w:lang w:eastAsia="en-US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locked/>
    <w:rPr>
      <w:rFonts w:ascii="Calibri" w:eastAsia="Calibri" w:hAnsi="Calibri"/>
      <w:lang w:val="ru-RU" w:eastAsia="ru-RU" w:bidi="ar-SA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paragraph" w:styleId="af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 title"/>
    <w:uiPriority w:val="99"/>
    <w:pPr>
      <w:spacing w:after="120"/>
      <w:jc w:val="center"/>
    </w:pPr>
    <w:rPr>
      <w:rFonts w:ascii="Times New Roman" w:eastAsia="Times New Roman" w:hAnsi="Times New Roman"/>
      <w:bCs/>
      <w:sz w:val="48"/>
      <w:szCs w:val="48"/>
      <w:lang w:val="en-US" w:eastAsia="en-US"/>
    </w:rPr>
  </w:style>
  <w:style w:type="character" w:customStyle="1" w:styleId="12">
    <w:name w:val="Неразрешенное упоминание1"/>
    <w:uiPriority w:val="99"/>
    <w:unhideWhenUsed/>
    <w:rPr>
      <w:color w:val="605E5C"/>
      <w:shd w:val="clear" w:color="auto" w:fill="E1DFDD"/>
    </w:rPr>
  </w:style>
  <w:style w:type="paragraph" w:customStyle="1" w:styleId="t-col">
    <w:name w:val="t-col"/>
    <w:basedOn w:val="a"/>
    <w:rsid w:val="00B47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6351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0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7C8A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F07C8A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F45C5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45C5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45C5C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5C5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45C5C"/>
    <w:rPr>
      <w:b/>
      <w:bCs/>
      <w:lang w:eastAsia="en-US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E12CC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74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iu8nnh82A6xxijjt8" TargetMode="External"/><Relationship Id="rId18" Type="http://schemas.openxmlformats.org/officeDocument/2006/relationships/hyperlink" Target="mailto:conference_aab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tstu.uz/" TargetMode="External"/><Relationship Id="rId17" Type="http://schemas.openxmlformats.org/officeDocument/2006/relationships/hyperlink" Target="https://forms.gle/iu8nnh82A6xxijjt8" TargetMode="External"/><Relationship Id="rId2" Type="http://schemas.openxmlformats.org/officeDocument/2006/relationships/styles" Target="styles.xml"/><Relationship Id="rId16" Type="http://schemas.openxmlformats.org/officeDocument/2006/relationships/hyperlink" Target="&#1056;&#1077;&#1075;&#1080;&#1089;&#1090;&#1088;&#1072;&#1094;&#1080;&#1103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iscvlg.ru/wp-content/uploads/2023/08/&#1057;&#1090;&#1072;&#1090;&#1100;&#1103;-&#1087;&#1086;-&#1096;&#1072;&#1073;&#1083;&#1086;&#1085;&#1091;-Springer_Palgrave-Macmillan.pdf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iscvolg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scvlg.ru/wp-content/uploads/2023/08/%D1%88%D0%B0%D0%B1%D0%BB%D0%BE%D0%BD-Spring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12979</CharactersWithSpaces>
  <SharedDoc>false</SharedDoc>
  <HLinks>
    <vt:vector size="42" baseType="variant">
      <vt:variant>
        <vt:i4>4849689</vt:i4>
      </vt:variant>
      <vt:variant>
        <vt:i4>6</vt:i4>
      </vt:variant>
      <vt:variant>
        <vt:i4>0</vt:i4>
      </vt:variant>
      <vt:variant>
        <vt:i4>5</vt:i4>
      </vt:variant>
      <vt:variant>
        <vt:lpwstr>http://kremlin.ru/acts/bank/41921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http://www.aeaweb.org/jel/guide/jel.php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https://1economic.ru/jel</vt:lpwstr>
      </vt:variant>
      <vt:variant>
        <vt:lpwstr/>
      </vt:variant>
      <vt:variant>
        <vt:i4>1900567</vt:i4>
      </vt:variant>
      <vt:variant>
        <vt:i4>9</vt:i4>
      </vt:variant>
      <vt:variant>
        <vt:i4>0</vt:i4>
      </vt:variant>
      <vt:variant>
        <vt:i4>5</vt:i4>
      </vt:variant>
      <vt:variant>
        <vt:lpwstr>mailto:ayjan_djumanova@gmail.com</vt:lpwstr>
      </vt:variant>
      <vt:variant>
        <vt:lpwstr/>
      </vt:variant>
      <vt:variant>
        <vt:i4>6422623</vt:i4>
      </vt:variant>
      <vt:variant>
        <vt:i4>6</vt:i4>
      </vt:variant>
      <vt:variant>
        <vt:i4>0</vt:i4>
      </vt:variant>
      <vt:variant>
        <vt:i4>5</vt:i4>
      </vt:variant>
      <vt:variant>
        <vt:lpwstr>mailto:lunalika@gmail.com</vt:lpwstr>
      </vt:variant>
      <vt:variant>
        <vt:lpwstr/>
      </vt:variant>
      <vt:variant>
        <vt:i4>3473486</vt:i4>
      </vt:variant>
      <vt:variant>
        <vt:i4>3</vt:i4>
      </vt:variant>
      <vt:variant>
        <vt:i4>0</vt:i4>
      </vt:variant>
      <vt:variant>
        <vt:i4>5</vt:i4>
      </vt:variant>
      <vt:variant>
        <vt:lpwstr>mailto:s.sultanova@tstu.uz</vt:lpwstr>
      </vt:variant>
      <vt:variant>
        <vt:lpwstr/>
      </vt:variant>
      <vt:variant>
        <vt:i4>3997712</vt:i4>
      </vt:variant>
      <vt:variant>
        <vt:i4>0</vt:i4>
      </vt:variant>
      <vt:variant>
        <vt:i4>0</vt:i4>
      </vt:variant>
      <vt:variant>
        <vt:i4>5</vt:i4>
      </vt:variant>
      <vt:variant>
        <vt:lpwstr>mailto:sofsul@mail.ru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User</dc:creator>
  <cp:keywords/>
  <cp:lastModifiedBy>User</cp:lastModifiedBy>
  <cp:revision>4</cp:revision>
  <cp:lastPrinted>2020-02-25T09:20:00Z</cp:lastPrinted>
  <dcterms:created xsi:type="dcterms:W3CDTF">2023-12-11T13:15:00Z</dcterms:created>
  <dcterms:modified xsi:type="dcterms:W3CDTF">2023-12-12T07:21:00Z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B3DA1F00FAEE4CBEB8EAB1C06A5515C2_13</vt:lpwstr>
  </property>
</Properties>
</file>